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BCAB" w14:textId="432A1B76" w:rsidR="0091310E" w:rsidRDefault="0091310E" w:rsidP="003D59B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ZADARSKA ŽUPANIJA</w:t>
      </w:r>
    </w:p>
    <w:p w14:paraId="7B2E0EA0" w14:textId="7B7972A2" w:rsidR="0091310E" w:rsidRDefault="0091310E" w:rsidP="003D59B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OSNOVNA ŠKOLA STARIGRAD</w:t>
      </w:r>
    </w:p>
    <w:p w14:paraId="769293B9" w14:textId="77777777" w:rsidR="0091310E" w:rsidRDefault="0091310E" w:rsidP="003D59B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EF30DC" w14:textId="04819DE6" w:rsidR="0091310E" w:rsidRDefault="0091310E" w:rsidP="003D59B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131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KLASA: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400-02/25-01/01</w:t>
      </w:r>
    </w:p>
    <w:p w14:paraId="5A091F86" w14:textId="3F1D2D25" w:rsidR="0091310E" w:rsidRDefault="0091310E" w:rsidP="003D59B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URBROJ: 2198-1-39-07-25-1</w:t>
      </w:r>
    </w:p>
    <w:p w14:paraId="296023DF" w14:textId="77777777" w:rsidR="0091310E" w:rsidRPr="0091310E" w:rsidRDefault="0091310E" w:rsidP="003D59B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2B07A20" w14:textId="77777777" w:rsidR="0091310E" w:rsidRDefault="0091310E" w:rsidP="009131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694067" w14:textId="596C93EA" w:rsidR="003D59B5" w:rsidRPr="003D59B5" w:rsidRDefault="003D59B5" w:rsidP="009131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D59B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OBRAZLOŽENJE</w:t>
      </w:r>
      <w:r w:rsidR="0091310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3D59B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FINANCIJSKOG PLANA ZA 202</w:t>
      </w:r>
      <w:r w:rsidR="0091310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3D59B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GODINU S PROJEKCIJAMA ZA 202</w:t>
      </w:r>
      <w:r w:rsidR="0091310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  <w:r w:rsidRPr="003D59B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I 202</w:t>
      </w:r>
      <w:r w:rsidR="0091310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8</w:t>
      </w:r>
      <w:r w:rsidRPr="003D59B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GODINU</w:t>
      </w:r>
    </w:p>
    <w:p w14:paraId="33D893D3" w14:textId="77777777" w:rsidR="003D59B5" w:rsidRDefault="003D59B5" w:rsidP="003D59B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B1EB08" w14:textId="77777777" w:rsidR="0091310E" w:rsidRPr="003D59B5" w:rsidRDefault="0091310E" w:rsidP="003D59B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ABC86B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RAZDJEL: 030 UPRAVNI ODJEL ZA OBRAZOVANJE KULTURU I SPORT</w:t>
      </w:r>
    </w:p>
    <w:p w14:paraId="57345E47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GLAVA: 030-04 OSNOVNOŠKOLSKO OBRAZOVANJE</w:t>
      </w:r>
    </w:p>
    <w:p w14:paraId="0F11A67C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ECE58EA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D35E578" w14:textId="77777777" w:rsidR="003D59B5" w:rsidRPr="003D59B5" w:rsidRDefault="003D59B5" w:rsidP="003D59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Uvod - Sažetak djelokruga rada proračunskog korisnika</w:t>
      </w:r>
    </w:p>
    <w:p w14:paraId="77B10BF9" w14:textId="77777777" w:rsidR="003D59B5" w:rsidRPr="003D59B5" w:rsidRDefault="003D59B5" w:rsidP="003D59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E25586D" w14:textId="440A27D9" w:rsid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Osnovna škola Starigrad obavlja djelatnost odgoja i obrazovanja sukladno Zakonu o odgoju i obrazovanju u osnovnoj i srednjoj školi i Statutu Osnovne škole Starigrad. Škola obavlja poslove upisa i ispisa iz škole, organizaciju i izvođenje nastave i drugih oblika odgojno-obrazovnog rada, vrednovanje i ocjenjivanje učenika te praćenje postignuća, izricanje i provođenje pedagoških mjera, izdavanje javnih potvrda i isprava. U školi se izvodi redovna, izborna, dodatna nastava, dopunska nastava, te izvannastavne aktivnosti sukladno Nastavnom planu i programu za osnovne škole, Godišnjem planu i programu rada škole za 202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./202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., te Školskom kurikulumu za školsku godinu 202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Nastava je organizirana u dvije smjene u matičnoj školi, dok je u PŠ Tribanj samo jutarnja smjena, u petodnevnom radnom tjednu. Školu pohađa 10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učenika raspoređenih u 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razrednih odjela i to: 4 odjela razredne nastave i 4 odjela predmetne nastave u Matičnoj školi Starigrad te 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razredn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odjel u Područnom odjelu Tribanj. Organiziranim prijevozom za dolazak i odlazak iz škole obuhvaćeno je 6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učenika, a u prehrani kroz sustav školske kuhinje sudjeluje 10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učenika, školsku marendu za učenike osigurava MZO. Škola ima ukupno 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34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zaposlenika u stalnom radnom odnosu, od čega su </w:t>
      </w:r>
      <w:r w:rsidR="005671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28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učitelji i stručni suradnici. Školske zgrade imaju ukupnu površinu od 668 m² te 2650 m²  školskog okoliša (dvije škole) koji se sastoji od školskih igrališta, zelenih površina i školskog dvorišta.</w:t>
      </w:r>
    </w:p>
    <w:p w14:paraId="3C72E4F9" w14:textId="77777777" w:rsidR="00567162" w:rsidRDefault="00567162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83E1E0" w14:textId="65B7DCF8" w:rsidR="00567162" w:rsidRDefault="00567162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671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Zakonske i druge pravne osnove</w:t>
      </w:r>
    </w:p>
    <w:p w14:paraId="10099D9D" w14:textId="4D221017" w:rsidR="00567162" w:rsidRDefault="00567162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6C20A0" w14:textId="12857DD4" w:rsidR="00567162" w:rsidRDefault="00567162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skladu s odredbama Zakona o proračunu (Narodne novine br. 144/21), Pravilnika o proračunskom računovodstvu i računskom planu (Narodne novine br. </w:t>
      </w:r>
      <w:r w:rsidR="00561C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158/23) te Uputama za izradu prijedloga proračuna i financijskih planova proračunskih korisnika Zadarske županije za razdoblje 2026. – 2028. godine i Limita ukupnih rashoda osnovnih škola za izvore financiranja 11 – opći prihodi i primici i 45 – fond poravnanja i dodatni udio u porezu na dohodak za 2026. – 2028. godinu, izrađen je Prijedlog financijskog plana za 2026. godinu s projekcijama za 2027. i 2028. godinu, a obuhvaća sve vrste prihoda i izdataka prema izvorima financiranja.</w:t>
      </w:r>
    </w:p>
    <w:p w14:paraId="6F15919B" w14:textId="1A9D45ED" w:rsidR="00561C55" w:rsidRPr="003D59B5" w:rsidRDefault="00561C5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Financijski plan sadrži opći i posebni dio, te obrazloženje financijskog plana.</w:t>
      </w:r>
    </w:p>
    <w:p w14:paraId="59BE28EF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3542C5" w14:textId="77777777" w:rsidR="003D59B5" w:rsidRPr="003D59B5" w:rsidRDefault="003D59B5" w:rsidP="003D59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EUR</w:t>
      </w:r>
    </w:p>
    <w:tbl>
      <w:tblPr>
        <w:tblStyle w:val="TableGrid"/>
        <w:tblW w:w="9192" w:type="dxa"/>
        <w:tblLook w:val="04A0" w:firstRow="1" w:lastRow="0" w:firstColumn="1" w:lastColumn="0" w:noHBand="0" w:noVBand="1"/>
      </w:tblPr>
      <w:tblGrid>
        <w:gridCol w:w="1532"/>
        <w:gridCol w:w="1532"/>
        <w:gridCol w:w="1532"/>
        <w:gridCol w:w="1532"/>
        <w:gridCol w:w="1532"/>
        <w:gridCol w:w="1532"/>
      </w:tblGrid>
      <w:tr w:rsidR="003D59B5" w:rsidRPr="003D59B5" w14:paraId="45860877" w14:textId="77777777" w:rsidTr="0071138F">
        <w:trPr>
          <w:trHeight w:val="468"/>
        </w:trPr>
        <w:tc>
          <w:tcPr>
            <w:tcW w:w="1532" w:type="dxa"/>
            <w:tcBorders>
              <w:bottom w:val="single" w:sz="4" w:space="0" w:color="auto"/>
            </w:tcBorders>
            <w:shd w:val="clear" w:color="auto" w:fill="F1A983" w:themeFill="accent2" w:themeFillTint="99"/>
          </w:tcPr>
          <w:p w14:paraId="694F799F" w14:textId="1F656AC7" w:rsidR="003D59B5" w:rsidRPr="003D59B5" w:rsidRDefault="003D59B5" w:rsidP="003D5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Izvršenje 202</w:t>
            </w:r>
            <w:r w:rsidR="00561C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1A983" w:themeFill="accent2" w:themeFillTint="99"/>
          </w:tcPr>
          <w:p w14:paraId="28F9C4EB" w14:textId="657EFF43" w:rsidR="003D59B5" w:rsidRPr="003D59B5" w:rsidRDefault="003D59B5" w:rsidP="003D5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202</w:t>
            </w:r>
            <w:r w:rsidR="00561C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1A983" w:themeFill="accent2" w:themeFillTint="99"/>
          </w:tcPr>
          <w:p w14:paraId="11044464" w14:textId="71C5703D" w:rsidR="003D59B5" w:rsidRPr="003D59B5" w:rsidRDefault="003D59B5" w:rsidP="003D5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202</w:t>
            </w:r>
            <w:r w:rsidR="00D54C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1A983" w:themeFill="accent2" w:themeFillTint="99"/>
          </w:tcPr>
          <w:p w14:paraId="6BC05BB6" w14:textId="6377C26D" w:rsidR="003D59B5" w:rsidRPr="003D59B5" w:rsidRDefault="003D59B5" w:rsidP="003D5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Projekcija 202</w:t>
            </w:r>
            <w:r w:rsidR="00D54C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1A983" w:themeFill="accent2" w:themeFillTint="99"/>
          </w:tcPr>
          <w:p w14:paraId="4D8B3579" w14:textId="0E59F82D" w:rsidR="003D59B5" w:rsidRPr="003D59B5" w:rsidRDefault="003D59B5" w:rsidP="003D5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Projekcija 202</w:t>
            </w:r>
            <w:r w:rsidR="00D54C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1A983" w:themeFill="accent2" w:themeFillTint="99"/>
          </w:tcPr>
          <w:p w14:paraId="708F5392" w14:textId="13B24259" w:rsidR="003D59B5" w:rsidRPr="003D59B5" w:rsidRDefault="003D59B5" w:rsidP="003D59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Indeks 202</w:t>
            </w:r>
            <w:r w:rsidR="00D54C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./202</w:t>
            </w:r>
            <w:r w:rsidR="00D54C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3D59B5" w:rsidRPr="003D59B5" w14:paraId="5244FBDE" w14:textId="77777777" w:rsidTr="0071138F">
        <w:trPr>
          <w:trHeight w:val="468"/>
        </w:trPr>
        <w:tc>
          <w:tcPr>
            <w:tcW w:w="1532" w:type="dxa"/>
            <w:shd w:val="clear" w:color="auto" w:fill="F6C5AC" w:themeFill="accent2" w:themeFillTint="66"/>
          </w:tcPr>
          <w:p w14:paraId="41FFA3F5" w14:textId="01C44FA3" w:rsidR="003D59B5" w:rsidRPr="003D59B5" w:rsidRDefault="00D54CD6" w:rsidP="003D5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937.662,55</w:t>
            </w:r>
          </w:p>
        </w:tc>
        <w:tc>
          <w:tcPr>
            <w:tcW w:w="1532" w:type="dxa"/>
            <w:shd w:val="clear" w:color="auto" w:fill="F6C5AC" w:themeFill="accent2" w:themeFillTint="66"/>
          </w:tcPr>
          <w:p w14:paraId="0741C8F8" w14:textId="551AEC9F" w:rsidR="003D59B5" w:rsidRPr="003D59B5" w:rsidRDefault="00D54CD6" w:rsidP="003D5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998.034,49</w:t>
            </w:r>
          </w:p>
        </w:tc>
        <w:tc>
          <w:tcPr>
            <w:tcW w:w="1532" w:type="dxa"/>
            <w:shd w:val="clear" w:color="auto" w:fill="F6C5AC" w:themeFill="accent2" w:themeFillTint="66"/>
          </w:tcPr>
          <w:p w14:paraId="01C79934" w14:textId="01B4F93F" w:rsidR="003D59B5" w:rsidRPr="003D59B5" w:rsidRDefault="00D54CD6" w:rsidP="003D5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959.543,34</w:t>
            </w:r>
          </w:p>
        </w:tc>
        <w:tc>
          <w:tcPr>
            <w:tcW w:w="1532" w:type="dxa"/>
            <w:shd w:val="clear" w:color="auto" w:fill="F6C5AC" w:themeFill="accent2" w:themeFillTint="66"/>
          </w:tcPr>
          <w:p w14:paraId="614D21D3" w14:textId="0AA60363" w:rsidR="003D59B5" w:rsidRPr="003D59B5" w:rsidRDefault="00D54CD6" w:rsidP="003D5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972.587,01</w:t>
            </w:r>
          </w:p>
        </w:tc>
        <w:tc>
          <w:tcPr>
            <w:tcW w:w="1532" w:type="dxa"/>
            <w:shd w:val="clear" w:color="auto" w:fill="F6C5AC" w:themeFill="accent2" w:themeFillTint="66"/>
          </w:tcPr>
          <w:p w14:paraId="671795DC" w14:textId="0D169F03" w:rsidR="003D59B5" w:rsidRPr="003D59B5" w:rsidRDefault="00D54CD6" w:rsidP="003D5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985.826,31</w:t>
            </w:r>
          </w:p>
        </w:tc>
        <w:tc>
          <w:tcPr>
            <w:tcW w:w="1532" w:type="dxa"/>
            <w:shd w:val="clear" w:color="auto" w:fill="F6C5AC" w:themeFill="accent2" w:themeFillTint="66"/>
          </w:tcPr>
          <w:p w14:paraId="0EDD1395" w14:textId="42FB2899" w:rsidR="003D59B5" w:rsidRPr="003D59B5" w:rsidRDefault="00D54CD6" w:rsidP="003D59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96,00 %</w:t>
            </w:r>
          </w:p>
        </w:tc>
      </w:tr>
    </w:tbl>
    <w:p w14:paraId="3B7F4B17" w14:textId="3B67365C" w:rsidR="003D59B5" w:rsidRDefault="00D54CD6" w:rsidP="00D54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54C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I. OPĆI DIO</w:t>
      </w:r>
    </w:p>
    <w:p w14:paraId="51922C22" w14:textId="77777777" w:rsidR="00D54CD6" w:rsidRDefault="00D54CD6" w:rsidP="00D54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60D50BA" w14:textId="16971E11" w:rsidR="00D54CD6" w:rsidRDefault="00D54CD6" w:rsidP="00D54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PRIHODI</w:t>
      </w:r>
    </w:p>
    <w:p w14:paraId="64CA72D6" w14:textId="77777777" w:rsidR="00D54CD6" w:rsidRDefault="00D54CD6" w:rsidP="00D54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EA3F4F" w14:textId="4B2685DD" w:rsidR="00F90E30" w:rsidRDefault="00F90E30" w:rsidP="00D54C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Kroz Prijedlog financijskog plana za 2026. godinu</w:t>
      </w:r>
      <w:r w:rsidR="00E517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 projekcija za 2027. i 2028. godinu planirani su sljedeći prihodi:</w:t>
      </w:r>
    </w:p>
    <w:p w14:paraId="7BE14CD3" w14:textId="77777777" w:rsidR="00E5174A" w:rsidRDefault="00E5174A" w:rsidP="00D54C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BDAAF5" w14:textId="77B866AC" w:rsidR="00E5174A" w:rsidRPr="00E5174A" w:rsidRDefault="00E5174A" w:rsidP="00D54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51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Konto 63 – Pomoći iz inozemstva i od subjekata unutar općeg proračuna</w:t>
      </w:r>
    </w:p>
    <w:p w14:paraId="766C790B" w14:textId="210BF1D4" w:rsidR="00E5174A" w:rsidRPr="00E5174A" w:rsidRDefault="00E5174A" w:rsidP="00E5174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odnosi se na prihode od Ministarstva znanosti, obrazovanja i mladih (nadalje: MZO) za plaće, prijevoz i ostale naknade zaposlenih, nabavu sredstava za nastavu, besplatnu prehranu učenicima škole, nabavu udžbenika učenicima – </w:t>
      </w:r>
      <w:r w:rsidRPr="00E51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izvor 51</w:t>
      </w:r>
    </w:p>
    <w:p w14:paraId="2A3E7817" w14:textId="4003632F" w:rsidR="00E5174A" w:rsidRPr="0070179F" w:rsidRDefault="00E5174A" w:rsidP="00E5174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prihode od općine Starigrad – </w:t>
      </w:r>
      <w:r w:rsidRPr="00E517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izvor 53</w:t>
      </w:r>
    </w:p>
    <w:p w14:paraId="6C761238" w14:textId="7D15A125" w:rsidR="0070179F" w:rsidRPr="0070179F" w:rsidRDefault="0070179F" w:rsidP="007017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Prihodima iz proračuna JLS predviđeno je financiranje  nabave opreme,  financiranje projekta rano učenje njemačkog jezika, financiranje dodatnog obrazovnog materijala, materijalnih troškova za koje nema dostatnih sredstava iz županijskog proračuna.</w:t>
      </w:r>
    </w:p>
    <w:p w14:paraId="1E663164" w14:textId="77777777" w:rsidR="00C528E2" w:rsidRDefault="00C528E2" w:rsidP="00C528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4481D2" w14:textId="50CF7C45" w:rsidR="00C528E2" w:rsidRDefault="00C528E2" w:rsidP="00C52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28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Konto 66 – Prihodi od prodaje proizvoda i robe te pruženih usluga i prihodi od donacije</w:t>
      </w:r>
    </w:p>
    <w:p w14:paraId="088C8954" w14:textId="67F1DE92" w:rsidR="00C528E2" w:rsidRDefault="00C528E2" w:rsidP="00C528E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2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prihodi od pruženih usluga – vlastita sredstva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- izvor 31</w:t>
      </w:r>
    </w:p>
    <w:p w14:paraId="0B14647A" w14:textId="427D7CFB" w:rsidR="0070179F" w:rsidRPr="0070179F" w:rsidRDefault="0070179F" w:rsidP="00701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Kod planiranja vlastitih prihoda uzelo se u obzir sklopljeni ugovor o korištenju školskog stana, sredstva su predviđena za pokriće materijalnih troškova</w:t>
      </w:r>
    </w:p>
    <w:p w14:paraId="50F6E1FA" w14:textId="77777777" w:rsidR="00E5174A" w:rsidRDefault="00E5174A" w:rsidP="00E517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F81A3D" w14:textId="1D7CD971" w:rsidR="00C528E2" w:rsidRDefault="00C528E2" w:rsidP="00C52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Konto 67 – Prihodi iz nadležnog proračuna i od HZZO-a temeljem ugovornih obveza</w:t>
      </w:r>
    </w:p>
    <w:p w14:paraId="7A8F8BC2" w14:textId="1D90442C" w:rsidR="00C528E2" w:rsidRDefault="00C528E2" w:rsidP="00C528E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8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prihodi iz Županijskog proračuna za materijalne i financijske rashode</w:t>
      </w:r>
    </w:p>
    <w:p w14:paraId="2C4FCD5E" w14:textId="77777777" w:rsidR="00B33AE4" w:rsidRDefault="00B33AE4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4FEE38" w14:textId="67C53ECB" w:rsidR="00B33AE4" w:rsidRPr="00B33AE4" w:rsidRDefault="00B33AE4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33A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Konto 92 – Višak prihoda poslovanja </w:t>
      </w:r>
    </w:p>
    <w:p w14:paraId="3B92C0DE" w14:textId="112D1BD5" w:rsidR="00C528E2" w:rsidRDefault="00B33AE4" w:rsidP="00B33AE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prihodi od Općine, vlastiti prihodi</w:t>
      </w:r>
    </w:p>
    <w:p w14:paraId="06924EDB" w14:textId="77777777" w:rsidR="00B33AE4" w:rsidRDefault="00B33AE4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FBCB42" w14:textId="77777777" w:rsidR="00B33AE4" w:rsidRDefault="00B33AE4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534AF3" w14:textId="3C2D9814" w:rsidR="00B33AE4" w:rsidRDefault="00B33AE4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33A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RASHODI</w:t>
      </w:r>
    </w:p>
    <w:p w14:paraId="59F1C7E9" w14:textId="77777777" w:rsidR="00B33AE4" w:rsidRDefault="00B33AE4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600D90" w14:textId="0764BEEB" w:rsidR="00B33AE4" w:rsidRDefault="00B33AE4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Skupina 31 – Rashodi za zaposlene</w:t>
      </w:r>
    </w:p>
    <w:p w14:paraId="0868A9BE" w14:textId="77777777" w:rsidR="00B33AE4" w:rsidRDefault="00B33AE4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AEA2C6" w14:textId="1288EDF5" w:rsidR="00B33AE4" w:rsidRDefault="00A06281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62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Planirane su plaće zaposlenih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djelatnika u školi, uvećane za naknade za rad u kombiniranom odjeljenju, naknada za rad u otežanim uvjetima, naknada za rad učitelja sa učenicima sa teškoćama, dodatak po sporazumu 4% za učitelje koji imaju preko 30 godina staža.</w:t>
      </w:r>
    </w:p>
    <w:p w14:paraId="4C2116A3" w14:textId="0F3404FF" w:rsidR="00A06281" w:rsidRDefault="00A06281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Planirani su i ostali rashodi za zaposlene i to: jubilarne nagrade djelatnicima, regres za godišnji odmor, božićnica, otpremnina, dar za djecu te pomoći prema kolektivnom ugovoru zaposlenih u školstvu.</w:t>
      </w:r>
    </w:p>
    <w:p w14:paraId="1504BD7D" w14:textId="35A79451" w:rsidR="00A06281" w:rsidRDefault="00A06281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17E756" w14:textId="6DCB820B" w:rsidR="00A06281" w:rsidRDefault="00A06281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0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Skupina 32 – Materijalni rashodi</w:t>
      </w:r>
    </w:p>
    <w:p w14:paraId="2195FB25" w14:textId="77777777" w:rsidR="00A06281" w:rsidRDefault="00A06281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E13656" w14:textId="13DB12B5" w:rsidR="00A06281" w:rsidRDefault="00A06281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Planirani su rashodi za prijevoz djelatnika na posao i s posla, novčana naknada</w:t>
      </w:r>
      <w:r w:rsidR="00F61C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zbog nezapošljavanja osoba s invaliditetom, nabava dodatnog obrazovnog materijala, prehrana učenicima škole (financirana od strane MZO-a), nabava uredskog materijala, troškovi prijevoza učenika te ostali materijalni rashodi.</w:t>
      </w:r>
    </w:p>
    <w:p w14:paraId="25AE6C24" w14:textId="77777777" w:rsidR="00F61C8B" w:rsidRDefault="00F61C8B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EA4F9C" w14:textId="46EB1042" w:rsidR="00F61C8B" w:rsidRPr="00F61C8B" w:rsidRDefault="00F61C8B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1C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Skupina 34 – Financijski rashodi</w:t>
      </w:r>
    </w:p>
    <w:p w14:paraId="0D9A189B" w14:textId="77777777" w:rsidR="00A06281" w:rsidRDefault="00A06281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D23C5C" w14:textId="6C4BED72" w:rsidR="00F61C8B" w:rsidRDefault="00F61C8B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Planirani su rashodi za pokriće troškova usluge platnog prometa.</w:t>
      </w:r>
    </w:p>
    <w:p w14:paraId="07D7CBF1" w14:textId="77777777" w:rsidR="00F61C8B" w:rsidRDefault="00F61C8B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F7A463" w14:textId="31151B03" w:rsidR="00F61C8B" w:rsidRPr="00F61C8B" w:rsidRDefault="00F61C8B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1C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Skupina 38 – Ostali rashodi</w:t>
      </w:r>
    </w:p>
    <w:p w14:paraId="29198A4D" w14:textId="77777777" w:rsidR="00F61C8B" w:rsidRDefault="00F61C8B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3F8F87" w14:textId="5E721C90" w:rsidR="00C81933" w:rsidRDefault="00F61C8B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Krajem školske godine 2022/2023. godine Ministarstvo rada, mirovinskog sustava, obitelji i socijalne politike započelo je kampanju doznake sredstva za kupnju zalih menstrualnih i higijenskih potrepština za učenice škole, što se nastavilo i kroz naredne godine.</w:t>
      </w:r>
    </w:p>
    <w:p w14:paraId="5CB6C124" w14:textId="29325394" w:rsidR="00C81933" w:rsidRDefault="00C81933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819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Skupina 42 – Rashodi za nabavu proizvedene dugotrajne imovine</w:t>
      </w:r>
    </w:p>
    <w:p w14:paraId="5FEC1086" w14:textId="77777777" w:rsidR="00E82F62" w:rsidRDefault="00E82F62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6A70B88" w14:textId="336B407E" w:rsidR="00E82F62" w:rsidRDefault="00E82F62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Planirani su rashodi za nabavu školskih udžbenika za učenike, nabava školske lektire, nabava opreme potrebne za rad školske kuhinje, te ostale opreme potrebne za normalno održavanje nastave tokom školske godine.</w:t>
      </w:r>
    </w:p>
    <w:p w14:paraId="79A8DEC8" w14:textId="77777777" w:rsidR="00E82F62" w:rsidRDefault="00E82F62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97332F" w14:textId="77777777" w:rsidR="00E82F62" w:rsidRDefault="00E82F62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A66BCF" w14:textId="0A65679A" w:rsidR="00E82F62" w:rsidRDefault="00E82F62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82F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II. POSEBNI DIO</w:t>
      </w:r>
    </w:p>
    <w:p w14:paraId="15DC4A7A" w14:textId="77777777" w:rsidR="00E82F62" w:rsidRDefault="00E82F62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F5D963" w14:textId="31BC00CE" w:rsidR="00E82F62" w:rsidRPr="00E82F62" w:rsidRDefault="00E82F62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Posebni dio Prijedloga financijskog plana sadrži rashode i izdatke po ekonomskoj klasifikaciji na razini skupine, raspoređenih  u programe, prema Aktivnostima i Izvorima financiranja.</w:t>
      </w:r>
    </w:p>
    <w:p w14:paraId="7B26AFAC" w14:textId="77777777" w:rsidR="00C42939" w:rsidRDefault="00C42939" w:rsidP="00B3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708A39" w14:textId="1477B562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OBRAZLOŽENJE PROGRAMA </w:t>
      </w:r>
    </w:p>
    <w:p w14:paraId="01737085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4B0608E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PROGRAM 2202 OSNOVNO ŠKOLSTVO - STANDARD</w:t>
      </w:r>
    </w:p>
    <w:p w14:paraId="3D74F0F1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A4C2C2F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D873" w:themeFill="accent6" w:themeFillTint="99"/>
        <w:tblLook w:val="04A0" w:firstRow="1" w:lastRow="0" w:firstColumn="1" w:lastColumn="0" w:noHBand="0" w:noVBand="1"/>
      </w:tblPr>
      <w:tblGrid>
        <w:gridCol w:w="1564"/>
        <w:gridCol w:w="1296"/>
        <w:gridCol w:w="1296"/>
        <w:gridCol w:w="1296"/>
        <w:gridCol w:w="1296"/>
        <w:gridCol w:w="1350"/>
        <w:gridCol w:w="1379"/>
      </w:tblGrid>
      <w:tr w:rsidR="003D59B5" w:rsidRPr="003D59B5" w14:paraId="23F00F02" w14:textId="77777777" w:rsidTr="0071138F">
        <w:trPr>
          <w:trHeight w:hRule="exact" w:val="781"/>
          <w:jc w:val="center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6747F0B9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bookmarkStart w:id="0" w:name="_Hlk180756894"/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DEAC764" w14:textId="06443610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Izvršenje 202</w:t>
            </w:r>
            <w:r w:rsidR="00E82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2F02D88" w14:textId="3CD384C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E82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130F8AF5" w14:textId="36E22C96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E82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56529698" w14:textId="1CFE8CF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E82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9682AE6" w14:textId="04B3D0D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E82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6C427FA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4E295D60" w14:textId="480DE862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E82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 w:rsidR="00E82F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3D59B5" w:rsidRPr="003D59B5" w14:paraId="7B4C884D" w14:textId="77777777" w:rsidTr="0071138F">
        <w:trPr>
          <w:trHeight w:hRule="exact" w:val="781"/>
          <w:jc w:val="center"/>
        </w:trPr>
        <w:tc>
          <w:tcPr>
            <w:tcW w:w="1851" w:type="dxa"/>
            <w:shd w:val="clear" w:color="auto" w:fill="B3E5A1" w:themeFill="accent6" w:themeFillTint="66"/>
            <w:vAlign w:val="bottom"/>
          </w:tcPr>
          <w:p w14:paraId="4B7C7F1E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2202</w:t>
            </w:r>
          </w:p>
          <w:p w14:paraId="02256F01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71202951" w14:textId="17A6B59A" w:rsidR="003D59B5" w:rsidRPr="003D59B5" w:rsidRDefault="00E82F62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840.984,43</w:t>
            </w:r>
          </w:p>
        </w:tc>
        <w:tc>
          <w:tcPr>
            <w:tcW w:w="1289" w:type="dxa"/>
            <w:shd w:val="clear" w:color="auto" w:fill="B3E5A1" w:themeFill="accent6" w:themeFillTint="66"/>
            <w:vAlign w:val="center"/>
          </w:tcPr>
          <w:p w14:paraId="79DDEBDB" w14:textId="522006A9" w:rsidR="003D59B5" w:rsidRPr="003D59B5" w:rsidRDefault="00E82F62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920.230,67</w:t>
            </w: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51AE22D3" w14:textId="027ED909" w:rsidR="003D59B5" w:rsidRPr="003D59B5" w:rsidRDefault="00E82F62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882.116,67</w:t>
            </w: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207AD2A5" w14:textId="0FE4D2AB" w:rsidR="003D59B5" w:rsidRPr="003D59B5" w:rsidRDefault="00E82F62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910.684,00</w:t>
            </w:r>
          </w:p>
        </w:tc>
        <w:tc>
          <w:tcPr>
            <w:tcW w:w="1387" w:type="dxa"/>
            <w:shd w:val="clear" w:color="auto" w:fill="B3E5A1" w:themeFill="accent6" w:themeFillTint="66"/>
          </w:tcPr>
          <w:p w14:paraId="22EFBD30" w14:textId="77777777" w:rsidR="003D59B5" w:rsidRPr="003D59B5" w:rsidRDefault="003D59B5" w:rsidP="003D5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239AB95" w14:textId="07C90BB7" w:rsidR="003D59B5" w:rsidRPr="003D59B5" w:rsidRDefault="00E82F62" w:rsidP="003D5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906.059,43</w:t>
            </w:r>
          </w:p>
        </w:tc>
        <w:tc>
          <w:tcPr>
            <w:tcW w:w="1389" w:type="dxa"/>
            <w:shd w:val="clear" w:color="auto" w:fill="B3E5A1" w:themeFill="accent6" w:themeFillTint="66"/>
            <w:vAlign w:val="center"/>
          </w:tcPr>
          <w:p w14:paraId="59786877" w14:textId="65870D04" w:rsidR="003D59B5" w:rsidRPr="003D59B5" w:rsidRDefault="00E82F62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95,00</w:t>
            </w:r>
            <w:r w:rsidR="003D59B5"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%</w:t>
            </w:r>
          </w:p>
        </w:tc>
      </w:tr>
      <w:bookmarkEnd w:id="0"/>
    </w:tbl>
    <w:p w14:paraId="4215E177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C7776DC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Opis programa</w:t>
      </w:r>
    </w:p>
    <w:p w14:paraId="6E17AD96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D6B4144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1" w:name="_Hlk180757224"/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Program je namijenjen za podmirenje materijalnih i financijskih rashoda škole, nepredviđenih troškova tzv. hitnih intervencija ( prema Odluci župana ili županijske skupštine ), te rashoda za zaposlene.</w:t>
      </w:r>
    </w:p>
    <w:bookmarkEnd w:id="1"/>
    <w:p w14:paraId="36B3853A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00ACC67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9504616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Zakonske i druge pravne osnove</w:t>
      </w:r>
    </w:p>
    <w:p w14:paraId="779D9C72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487B52D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odgoju i obrazovanju u osnovnoj i srednjoj školi (NN br. 87/08, 86/09, 92/10, 90/11, 5/12, 16./12, 86/12, 126/12, 94/13, 152/14, 07/17, 68/18, 98/19, 64/20, 151/22, 155/23, 156/23), </w:t>
      </w:r>
    </w:p>
    <w:p w14:paraId="153E719E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ustanovama (NN br. 76/93, 29/97, 47/99, 35/08, 121/19, 151/22) </w:t>
      </w:r>
    </w:p>
    <w:p w14:paraId="17996E07" w14:textId="35622F09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proračunu, (NN br. </w:t>
      </w:r>
      <w:r w:rsidR="006D3D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144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</w:t>
      </w:r>
      <w:r w:rsidR="006D3D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</w:t>
      </w:r>
    </w:p>
    <w:p w14:paraId="741EBBC9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Pravilnik o proračunskom računovodstvu i računskom planu (NN br. 158/23) </w:t>
      </w:r>
    </w:p>
    <w:p w14:paraId="5A170587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 Zadarske županije</w:t>
      </w:r>
    </w:p>
    <w:p w14:paraId="403C0175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izvršenju proračuna Zadarske županije</w:t>
      </w:r>
    </w:p>
    <w:p w14:paraId="5910B12E" w14:textId="257D5E1B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Upute za izradu prijedloga proračuna i financijskih planova upravnih tijela, proračunskih i izvanproračunskih korisnika Zadarske županije za razdoblje </w:t>
      </w:r>
      <w:r w:rsidR="006D3D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2026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– </w:t>
      </w:r>
      <w:r w:rsidR="006D3D5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2028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</w:t>
      </w:r>
    </w:p>
    <w:p w14:paraId="706A1D15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Godišnji plan i program rada Osnovne škole Starigrad,</w:t>
      </w:r>
    </w:p>
    <w:p w14:paraId="3B99268E" w14:textId="77777777" w:rsidR="009B0DA0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Školski kurikulum Osnovne škole Starigrad.</w:t>
      </w:r>
    </w:p>
    <w:p w14:paraId="10B25429" w14:textId="7D68EBE6" w:rsidR="003D59B5" w:rsidRPr="009B0DA0" w:rsidRDefault="003D59B5" w:rsidP="009B0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B0DA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Aktivnost A2202-01 Djelatnost osnovnih škola</w:t>
      </w:r>
    </w:p>
    <w:p w14:paraId="24535AA6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296"/>
        <w:gridCol w:w="1277"/>
        <w:gridCol w:w="1186"/>
        <w:gridCol w:w="1190"/>
        <w:gridCol w:w="1366"/>
        <w:gridCol w:w="1386"/>
      </w:tblGrid>
      <w:tr w:rsidR="003D59B5" w:rsidRPr="003D59B5" w14:paraId="17407822" w14:textId="77777777" w:rsidTr="0071138F">
        <w:trPr>
          <w:trHeight w:hRule="exact" w:val="781"/>
          <w:jc w:val="center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CC95D29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407B2FA" w14:textId="1536BE86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Izvršenje 202</w:t>
            </w:r>
            <w:r w:rsidR="006D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66A0CCA" w14:textId="2B875CB1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6D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5D7997C5" w14:textId="0DFEF358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6D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1CC03A1C" w14:textId="4F217C35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6D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1581F9F9" w14:textId="68A1825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6D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65F88F8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0A165ED3" w14:textId="53B59BF5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6D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 w:rsidR="006D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3D59B5" w:rsidRPr="003D59B5" w14:paraId="02B3EED7" w14:textId="77777777" w:rsidTr="0071138F">
        <w:trPr>
          <w:trHeight w:hRule="exact" w:val="781"/>
          <w:jc w:val="center"/>
        </w:trPr>
        <w:tc>
          <w:tcPr>
            <w:tcW w:w="1851" w:type="dxa"/>
            <w:shd w:val="clear" w:color="auto" w:fill="B3E5A1" w:themeFill="accent6" w:themeFillTint="66"/>
            <w:vAlign w:val="bottom"/>
          </w:tcPr>
          <w:p w14:paraId="1F4D5BAA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A2202-01</w:t>
            </w:r>
          </w:p>
          <w:p w14:paraId="75C23BC8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377C5C3F" w14:textId="3E2A8073" w:rsidR="003D59B5" w:rsidRPr="003D59B5" w:rsidRDefault="006D3D5D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100.233,72</w:t>
            </w:r>
          </w:p>
        </w:tc>
        <w:tc>
          <w:tcPr>
            <w:tcW w:w="1289" w:type="dxa"/>
            <w:shd w:val="clear" w:color="auto" w:fill="B3E5A1" w:themeFill="accent6" w:themeFillTint="66"/>
            <w:vAlign w:val="center"/>
          </w:tcPr>
          <w:p w14:paraId="38EBA8A4" w14:textId="41D2FBA5" w:rsidR="003D59B5" w:rsidRPr="003D59B5" w:rsidRDefault="006D3D5D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89.965,67</w:t>
            </w: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43B1678E" w14:textId="3C35E001" w:rsidR="003D59B5" w:rsidRPr="003D59B5" w:rsidRDefault="006D3D5D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89.965,67</w:t>
            </w: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07DE9379" w14:textId="624D2454" w:rsidR="003D59B5" w:rsidRPr="003D59B5" w:rsidRDefault="006D3D5D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89.965,67</w:t>
            </w:r>
          </w:p>
        </w:tc>
        <w:tc>
          <w:tcPr>
            <w:tcW w:w="1387" w:type="dxa"/>
            <w:shd w:val="clear" w:color="auto" w:fill="B3E5A1" w:themeFill="accent6" w:themeFillTint="66"/>
          </w:tcPr>
          <w:p w14:paraId="00CC371E" w14:textId="77777777" w:rsidR="003D59B5" w:rsidRPr="003D59B5" w:rsidRDefault="003D59B5" w:rsidP="003D5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56B292E" w14:textId="7F7F1917" w:rsidR="003D59B5" w:rsidRPr="003D59B5" w:rsidRDefault="006D3D5D" w:rsidP="003D5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89.965,67</w:t>
            </w:r>
          </w:p>
        </w:tc>
        <w:tc>
          <w:tcPr>
            <w:tcW w:w="1389" w:type="dxa"/>
            <w:shd w:val="clear" w:color="auto" w:fill="B3E5A1" w:themeFill="accent6" w:themeFillTint="66"/>
            <w:vAlign w:val="center"/>
          </w:tcPr>
          <w:p w14:paraId="6B1794CA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100,00 %</w:t>
            </w:r>
          </w:p>
        </w:tc>
      </w:tr>
    </w:tbl>
    <w:p w14:paraId="4BDE5F7C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CF1ADED" w14:textId="4FE1A27F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Opis aktivnosti:</w:t>
      </w:r>
    </w:p>
    <w:p w14:paraId="6A634521" w14:textId="0E7406E4" w:rsidR="006D3D5D" w:rsidRDefault="006D3D5D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2" w:name="_Hlk181003633"/>
      <w:r w:rsidRPr="006D3D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Izvor financiranja 45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– </w:t>
      </w:r>
      <w:bookmarkStart w:id="3" w:name="_Hlk212198036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Fond poravnanja i dodatni udio u porezu na dohodak </w:t>
      </w:r>
      <w:bookmarkEnd w:id="3"/>
    </w:p>
    <w:p w14:paraId="6C96D2A0" w14:textId="356C3D2B" w:rsidR="006D3D5D" w:rsidRDefault="006D3D5D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Program je namijenjen financiranju rashoda od Županije u sklopu funkcija koje se decentraliziraju.</w:t>
      </w:r>
    </w:p>
    <w:p w14:paraId="1EAA3E22" w14:textId="1C650450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Aktivnost je namijenjena financiranju materijalnih rashoda: komunalne usluge, prijevoz učenika, usluge telefona, poštanske usluge, usluge tekućeg i investicijskog održavanja građevinskih objekata, računalne usluge, električna energija, te financijske rashode: usluge platnog prometa.</w:t>
      </w:r>
    </w:p>
    <w:bookmarkEnd w:id="2"/>
    <w:p w14:paraId="041E5A73" w14:textId="77777777" w:rsid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C1E3712" w14:textId="77777777" w:rsidR="009B0DA0" w:rsidRPr="003D59B5" w:rsidRDefault="009B0DA0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B8094D1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Aktivnost A2202-04 Administracija i upravljanje</w:t>
      </w:r>
    </w:p>
    <w:p w14:paraId="77B67C0E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321"/>
        <w:gridCol w:w="1315"/>
        <w:gridCol w:w="1315"/>
        <w:gridCol w:w="1315"/>
        <w:gridCol w:w="1315"/>
        <w:gridCol w:w="1363"/>
      </w:tblGrid>
      <w:tr w:rsidR="003D59B5" w:rsidRPr="003D59B5" w14:paraId="68882B7F" w14:textId="77777777" w:rsidTr="0071138F">
        <w:trPr>
          <w:trHeight w:hRule="exact" w:val="715"/>
          <w:jc w:val="center"/>
        </w:trPr>
        <w:tc>
          <w:tcPr>
            <w:tcW w:w="1894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EC22836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698D74A9" w14:textId="25D3D2B5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Izvršenje 202</w:t>
            </w:r>
            <w:r w:rsidR="00D417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2C15773" w14:textId="288EEBB3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D417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E44D1BB" w14:textId="0790F1FA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D417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12EF5FC" w14:textId="3266F7D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D417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19F928B" w14:textId="097A6669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D417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11C5E21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6F7EA4E0" w14:textId="232D551C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D417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 w:rsidR="00D417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3D59B5" w:rsidRPr="003D59B5" w14:paraId="1EB67294" w14:textId="77777777" w:rsidTr="0071138F">
        <w:trPr>
          <w:trHeight w:val="715"/>
          <w:jc w:val="center"/>
        </w:trPr>
        <w:tc>
          <w:tcPr>
            <w:tcW w:w="1894" w:type="dxa"/>
            <w:shd w:val="clear" w:color="auto" w:fill="B3E5A1" w:themeFill="accent6" w:themeFillTint="66"/>
            <w:vAlign w:val="center"/>
          </w:tcPr>
          <w:p w14:paraId="4AF9865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1A4BF2E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A2202-04</w:t>
            </w:r>
          </w:p>
          <w:p w14:paraId="08472B4B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D549F15" w14:textId="16E20EC9" w:rsidR="003D59B5" w:rsidRPr="003D59B5" w:rsidRDefault="00D4175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735.590,17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267C35F" w14:textId="023C6B12" w:rsidR="003D59B5" w:rsidRPr="003D59B5" w:rsidRDefault="00D4175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830.265,00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1BEC5B8" w14:textId="146A220D" w:rsidR="003D59B5" w:rsidRPr="003D59B5" w:rsidRDefault="00D4175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792.151,00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EB3CBC9" w14:textId="39CEA6B2" w:rsidR="003D59B5" w:rsidRPr="003D59B5" w:rsidRDefault="00D4175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804.033,27</w:t>
            </w:r>
          </w:p>
        </w:tc>
        <w:tc>
          <w:tcPr>
            <w:tcW w:w="1316" w:type="dxa"/>
            <w:shd w:val="clear" w:color="auto" w:fill="B3E5A1" w:themeFill="accent6" w:themeFillTint="66"/>
          </w:tcPr>
          <w:p w14:paraId="229D8A62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0D28A1A" w14:textId="657FAB21" w:rsidR="003D59B5" w:rsidRPr="003D59B5" w:rsidRDefault="00D4175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816.093,76</w:t>
            </w:r>
          </w:p>
        </w:tc>
        <w:tc>
          <w:tcPr>
            <w:tcW w:w="1316" w:type="dxa"/>
            <w:shd w:val="clear" w:color="auto" w:fill="B3E5A1" w:themeFill="accent6" w:themeFillTint="66"/>
          </w:tcPr>
          <w:p w14:paraId="7808B945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1B88441" w14:textId="78721E07" w:rsidR="003D59B5" w:rsidRPr="003D59B5" w:rsidRDefault="00D4175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95,00</w:t>
            </w:r>
            <w:r w:rsidR="003D59B5"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%</w:t>
            </w:r>
          </w:p>
        </w:tc>
      </w:tr>
    </w:tbl>
    <w:p w14:paraId="58565DC0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4577242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Opis aktivnosti:</w:t>
      </w:r>
    </w:p>
    <w:p w14:paraId="2167ED32" w14:textId="2B03611F" w:rsidR="00D41755" w:rsidRPr="003D59B5" w:rsidRDefault="00D4175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D4175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Izvor financiranja 51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– Državni proračun</w:t>
      </w:r>
    </w:p>
    <w:p w14:paraId="53D18254" w14:textId="6E7C6DAA" w:rsid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Aktivnost je namijenjena financiranju rashoda za zaposlene: plaće za redovan rad, doprinose za zdravstveno osiguranje, ostale rashode za zaposlene ( </w:t>
      </w:r>
      <w:r w:rsidR="00D4175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jubilarne </w:t>
      </w: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nagrade, </w:t>
      </w:r>
      <w:r w:rsidR="00D4175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regres za godišnji odmor, božićnice, dar za djecu, </w:t>
      </w: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pomoći</w:t>
      </w:r>
      <w:r w:rsidR="00D4175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za bolovanje preko 90 dana, pomoći za novorođeno dijete, pomoći za smrt užeg člana obitelji zaposlenika</w:t>
      </w: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, otpremnine ), te naknade za prijevoz. U školi trenutno radi </w:t>
      </w:r>
      <w:r w:rsidR="00D4175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34</w:t>
      </w: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djelatnika. </w:t>
      </w:r>
      <w:r w:rsidR="00D4175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Realizacija u području isplata plaća i naknada ovisi o odlukama na razini Vlade Republike Hrvatske i MZO pa škola na to ne može utjecati.</w:t>
      </w:r>
    </w:p>
    <w:p w14:paraId="1A07BEAD" w14:textId="77777777" w:rsidR="00D41755" w:rsidRDefault="00D4175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7BC5553" w14:textId="05FDDFA2" w:rsidR="00D41755" w:rsidRDefault="00D41755" w:rsidP="00D41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Aktivnost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T</w:t>
      </w: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2202-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03</w:t>
      </w: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Hitne intervencije u osnovnim škola</w:t>
      </w:r>
      <w:r w:rsidR="00EB235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ma</w:t>
      </w:r>
    </w:p>
    <w:p w14:paraId="3651776E" w14:textId="77777777" w:rsidR="00EB2355" w:rsidRDefault="00EB2355" w:rsidP="00D41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EB3821D" w14:textId="41D25D2F" w:rsidR="00EB2355" w:rsidRDefault="00EB2355" w:rsidP="00D41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Opis aktivnosti:</w:t>
      </w:r>
    </w:p>
    <w:p w14:paraId="43A2EC5D" w14:textId="1FF7A06E" w:rsidR="00EB2355" w:rsidRDefault="00EB2355" w:rsidP="00D41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Izvor financiranja 45 -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Fond poravnanja i dodatni udio u porezu na dohodak</w:t>
      </w:r>
    </w:p>
    <w:p w14:paraId="6815CE83" w14:textId="77777777" w:rsidR="00144B44" w:rsidRDefault="00EB235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Hitne intervencije u školi prema uputama Županije ne planiramo, već ih tražimo tijekom godine kad nastane potreba, a odobravaju se posebnim odlukama.</w:t>
      </w:r>
    </w:p>
    <w:p w14:paraId="5259F5D5" w14:textId="77777777" w:rsidR="00144B44" w:rsidRDefault="00144B44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C2D6E9E" w14:textId="77777777" w:rsidR="00144B44" w:rsidRDefault="00144B44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D3EC2EB" w14:textId="6038C012" w:rsidR="003D59B5" w:rsidRPr="00144B44" w:rsidRDefault="00EB235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Svrha</w:t>
      </w:r>
      <w:r w:rsidR="003D59B5" w:rsidRPr="003D59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provedbe programa u razdoblju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6</w:t>
      </w:r>
      <w:r w:rsidR="003D59B5" w:rsidRPr="003D59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. –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8</w:t>
      </w:r>
      <w:r w:rsidR="003D59B5" w:rsidRPr="003D59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. godine i pokazatelji uspješnosti kojima će se mjeriti ostvarenje tih ciljeva</w:t>
      </w:r>
    </w:p>
    <w:p w14:paraId="7BC87E05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5977F0D" w14:textId="77777777" w:rsidR="003D59B5" w:rsidRPr="003D59B5" w:rsidRDefault="003D59B5" w:rsidP="003D59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Cjelovito, pravodobno, redovito i točno podmirenje svih rashoda vezanih za zaposlene te materijalnih i financijskih rashoda škole, pažljivim i namjenskim izvršenjem financijskih aktivnosti</w:t>
      </w:r>
    </w:p>
    <w:p w14:paraId="2FF1EBAB" w14:textId="4BAEE1BD" w:rsidR="003D59B5" w:rsidRPr="003D59B5" w:rsidRDefault="003D59B5" w:rsidP="003D59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 xml:space="preserve">Osiguranje i unapređenje kvalitete nastave, poučavanja i učenja, provođenjem </w:t>
      </w:r>
      <w:r w:rsidR="00EB2355"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samo vrednovanja</w:t>
      </w: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rada škole i unapređenjem stručnih kompetencija odgojno – obrazovnih djelatnika</w:t>
      </w:r>
    </w:p>
    <w:p w14:paraId="6EEABFB5" w14:textId="77777777" w:rsidR="003D59B5" w:rsidRPr="003D59B5" w:rsidRDefault="003D59B5" w:rsidP="003D59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Održati razinu broja učenika uključenih u natjecanja i smotre</w:t>
      </w:r>
    </w:p>
    <w:p w14:paraId="3EC9729F" w14:textId="77777777" w:rsidR="003D59B5" w:rsidRPr="003D59B5" w:rsidRDefault="003D59B5" w:rsidP="003D59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Održati razinu projekata/programa koje provodi škola samostalno ili u suradnji s drugim subjektima</w:t>
      </w:r>
    </w:p>
    <w:p w14:paraId="513F1EF1" w14:textId="77777777" w:rsidR="003D59B5" w:rsidRPr="003D59B5" w:rsidRDefault="003D59B5" w:rsidP="003D59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D92F3F1" w14:textId="77777777" w:rsidR="003D59B5" w:rsidRPr="003D59B5" w:rsidRDefault="003D59B5" w:rsidP="003D59B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9A55014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Pokazatelji rezultata</w:t>
      </w:r>
    </w:p>
    <w:p w14:paraId="25FDB58E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12ADB76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Cilj 2. Osiguranje i unapređenje kvalitete nastave, poučavanja i učenja</w:t>
      </w:r>
    </w:p>
    <w:p w14:paraId="3431ED4C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9EDC" w:themeFill="accent5" w:themeFillTint="66"/>
        <w:tblLook w:val="04A0" w:firstRow="1" w:lastRow="0" w:firstColumn="1" w:lastColumn="0" w:noHBand="0" w:noVBand="1"/>
      </w:tblPr>
      <w:tblGrid>
        <w:gridCol w:w="1980"/>
        <w:gridCol w:w="1558"/>
        <w:gridCol w:w="1590"/>
        <w:gridCol w:w="1590"/>
        <w:gridCol w:w="1590"/>
        <w:gridCol w:w="1634"/>
      </w:tblGrid>
      <w:tr w:rsidR="003D59B5" w:rsidRPr="003D59B5" w14:paraId="67B0C205" w14:textId="77777777" w:rsidTr="0071138F">
        <w:trPr>
          <w:trHeight w:hRule="exact" w:val="102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FC3EA"/>
          </w:tcPr>
          <w:p w14:paraId="7A69559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bookmarkStart w:id="4" w:name="_Hlk180754608"/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Pokazatelj rezultata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EFC3EA"/>
          </w:tcPr>
          <w:p w14:paraId="3606ACD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Jedinica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3922C772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Polazna vrijednost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064A317E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Ciljana vrijednost </w:t>
            </w:r>
          </w:p>
          <w:p w14:paraId="6759506A" w14:textId="7F3C0BD2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EB23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686EE1B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Ciljana vrijednost</w:t>
            </w:r>
          </w:p>
          <w:p w14:paraId="00D57F26" w14:textId="02F932EC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EB23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EFC3EA"/>
          </w:tcPr>
          <w:p w14:paraId="197B9698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Ciljana vrijednost</w:t>
            </w:r>
          </w:p>
          <w:p w14:paraId="354D0B21" w14:textId="3A9DC410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EB235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</w:tr>
      <w:tr w:rsidR="003D59B5" w:rsidRPr="003D59B5" w14:paraId="430960F6" w14:textId="77777777" w:rsidTr="0071138F">
        <w:trPr>
          <w:trHeight w:hRule="exact" w:val="2091"/>
        </w:trPr>
        <w:tc>
          <w:tcPr>
            <w:tcW w:w="1980" w:type="dxa"/>
            <w:shd w:val="clear" w:color="auto" w:fill="F2CEED" w:themeFill="accent5" w:themeFillTint="33"/>
          </w:tcPr>
          <w:p w14:paraId="031037E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Stručno usavršavanje odgojno– obrazovnih djelatnika</w:t>
            </w:r>
          </w:p>
          <w:p w14:paraId="203CB737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8" w:type="dxa"/>
            <w:shd w:val="clear" w:color="auto" w:fill="F2CEED" w:themeFill="accent5" w:themeFillTint="33"/>
          </w:tcPr>
          <w:p w14:paraId="544D71DA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djelatnika koji su sudjelovali na skupovima državne razine</w:t>
            </w:r>
          </w:p>
          <w:p w14:paraId="3A15A3DE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6B3C5629" w14:textId="764C1678" w:rsidR="003D59B5" w:rsidRPr="003D59B5" w:rsidRDefault="00CF608D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04C24CEC" w14:textId="0370DDE7" w:rsidR="003D59B5" w:rsidRPr="003D59B5" w:rsidRDefault="00CF608D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2D0DAE1C" w14:textId="6A0D9263" w:rsidR="003D59B5" w:rsidRPr="003D59B5" w:rsidRDefault="00CF608D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1634" w:type="dxa"/>
            <w:shd w:val="clear" w:color="auto" w:fill="F2CEED" w:themeFill="accent5" w:themeFillTint="33"/>
            <w:vAlign w:val="center"/>
          </w:tcPr>
          <w:p w14:paraId="00DD40BE" w14:textId="4D4604B7" w:rsidR="003D59B5" w:rsidRPr="003D59B5" w:rsidRDefault="00CF608D" w:rsidP="003D5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</w:tr>
      <w:bookmarkEnd w:id="4"/>
    </w:tbl>
    <w:p w14:paraId="59D99017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A7995AE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56FE716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Cilj 3. Održati razinu učenika uključenih u natjecanja i smotre</w:t>
      </w:r>
    </w:p>
    <w:p w14:paraId="61011DA4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9EDC" w:themeFill="accent5" w:themeFillTint="66"/>
        <w:tblLook w:val="04A0" w:firstRow="1" w:lastRow="0" w:firstColumn="1" w:lastColumn="0" w:noHBand="0" w:noVBand="1"/>
      </w:tblPr>
      <w:tblGrid>
        <w:gridCol w:w="1980"/>
        <w:gridCol w:w="1558"/>
        <w:gridCol w:w="1590"/>
        <w:gridCol w:w="1590"/>
        <w:gridCol w:w="1590"/>
        <w:gridCol w:w="1634"/>
      </w:tblGrid>
      <w:tr w:rsidR="003D59B5" w:rsidRPr="003D59B5" w14:paraId="43D22087" w14:textId="77777777" w:rsidTr="0071138F">
        <w:trPr>
          <w:trHeight w:hRule="exact" w:val="102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FC3EA"/>
          </w:tcPr>
          <w:p w14:paraId="02DB1717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Pokazatelj rezultata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EFC3EA"/>
          </w:tcPr>
          <w:p w14:paraId="2A118029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Jedinica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7C6E5E37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Polazna vrijednost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3121531A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Ciljana vrijednost </w:t>
            </w:r>
          </w:p>
          <w:p w14:paraId="667DCE4E" w14:textId="4D05C236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CF60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03607994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Ciljana vrijednost</w:t>
            </w:r>
          </w:p>
          <w:p w14:paraId="2724E42E" w14:textId="033130D9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CF60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EFC3EA"/>
          </w:tcPr>
          <w:p w14:paraId="4D528224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Ciljana vrijednost</w:t>
            </w:r>
          </w:p>
          <w:p w14:paraId="71577937" w14:textId="50DF47A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CF60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</w:tr>
      <w:tr w:rsidR="003D59B5" w:rsidRPr="003D59B5" w14:paraId="7AC55E5A" w14:textId="77777777" w:rsidTr="0071138F">
        <w:trPr>
          <w:trHeight w:hRule="exact" w:val="1269"/>
        </w:trPr>
        <w:tc>
          <w:tcPr>
            <w:tcW w:w="1980" w:type="dxa"/>
            <w:shd w:val="clear" w:color="auto" w:fill="F2CEED" w:themeFill="accent5" w:themeFillTint="33"/>
          </w:tcPr>
          <w:p w14:paraId="6F36A418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Sudjelovanje učenika na školskoj razini natjecanja</w:t>
            </w:r>
          </w:p>
          <w:p w14:paraId="1E4230B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8" w:type="dxa"/>
            <w:shd w:val="clear" w:color="auto" w:fill="F2CEED" w:themeFill="accent5" w:themeFillTint="33"/>
          </w:tcPr>
          <w:p w14:paraId="6C54C4F5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učenika uključenih u natjecanje</w:t>
            </w:r>
          </w:p>
          <w:p w14:paraId="0B14E657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3BD54A7B" w14:textId="1A58A0EC" w:rsidR="003D59B5" w:rsidRPr="003D59B5" w:rsidRDefault="00CF608D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50</w:t>
            </w: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00973757" w14:textId="18B0ED16" w:rsidR="003D59B5" w:rsidRPr="003D59B5" w:rsidRDefault="00CF608D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50</w:t>
            </w: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4432B23D" w14:textId="343F8CE6" w:rsidR="003D59B5" w:rsidRPr="003D59B5" w:rsidRDefault="00CF608D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50</w:t>
            </w:r>
          </w:p>
        </w:tc>
        <w:tc>
          <w:tcPr>
            <w:tcW w:w="1634" w:type="dxa"/>
            <w:shd w:val="clear" w:color="auto" w:fill="F2CEED" w:themeFill="accent5" w:themeFillTint="33"/>
            <w:vAlign w:val="center"/>
          </w:tcPr>
          <w:p w14:paraId="67EC9963" w14:textId="6F7A05C1" w:rsidR="003D59B5" w:rsidRPr="003D59B5" w:rsidRDefault="00CF608D" w:rsidP="003D5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50</w:t>
            </w:r>
          </w:p>
        </w:tc>
      </w:tr>
    </w:tbl>
    <w:p w14:paraId="00C19869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3DB2A25" w14:textId="77777777" w:rsidR="00144B44" w:rsidRDefault="00144B44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79A6319" w14:textId="77777777" w:rsidR="00144B44" w:rsidRDefault="00144B44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1E61E27" w14:textId="77777777" w:rsidR="00144B44" w:rsidRDefault="00144B44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B1E3272" w14:textId="68D86D4D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Cilj 4. Održati razinu projekata/programa koje provodi škola samostalno ili u suradnji s drugim subjektima </w:t>
      </w:r>
    </w:p>
    <w:p w14:paraId="2081E435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9EDC" w:themeFill="accent5" w:themeFillTint="66"/>
        <w:tblLook w:val="04A0" w:firstRow="1" w:lastRow="0" w:firstColumn="1" w:lastColumn="0" w:noHBand="0" w:noVBand="1"/>
      </w:tblPr>
      <w:tblGrid>
        <w:gridCol w:w="1959"/>
        <w:gridCol w:w="2096"/>
        <w:gridCol w:w="1464"/>
        <w:gridCol w:w="1464"/>
        <w:gridCol w:w="1464"/>
        <w:gridCol w:w="1495"/>
      </w:tblGrid>
      <w:tr w:rsidR="003D59B5" w:rsidRPr="003D59B5" w14:paraId="3EDA816D" w14:textId="77777777" w:rsidTr="0071138F">
        <w:trPr>
          <w:trHeight w:hRule="exact" w:val="102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FC3EA"/>
          </w:tcPr>
          <w:p w14:paraId="321C7FD9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Pokazatelj rezultata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EFC3EA"/>
          </w:tcPr>
          <w:p w14:paraId="0A61835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Jedinica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59F7B24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Polazna vrijednost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0E807285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Ciljana vrijednost </w:t>
            </w:r>
          </w:p>
          <w:p w14:paraId="70B6086B" w14:textId="15920302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CF60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126DE23E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Ciljana vrijednost</w:t>
            </w:r>
          </w:p>
          <w:p w14:paraId="1C8D1142" w14:textId="57440511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CF60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EFC3EA"/>
          </w:tcPr>
          <w:p w14:paraId="6ADBD54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Ciljana vrijednost</w:t>
            </w:r>
          </w:p>
          <w:p w14:paraId="0E932AB8" w14:textId="337D1C9D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CF60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</w:tr>
      <w:tr w:rsidR="003D59B5" w:rsidRPr="003D59B5" w14:paraId="061282DF" w14:textId="77777777" w:rsidTr="0071138F">
        <w:trPr>
          <w:trHeight w:hRule="exact" w:val="983"/>
        </w:trPr>
        <w:tc>
          <w:tcPr>
            <w:tcW w:w="1980" w:type="dxa"/>
            <w:shd w:val="clear" w:color="auto" w:fill="F2CEED" w:themeFill="accent5" w:themeFillTint="33"/>
          </w:tcPr>
          <w:p w14:paraId="5FA40F5B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Realizirani projekti/programi</w:t>
            </w:r>
          </w:p>
          <w:p w14:paraId="33EE1151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8" w:type="dxa"/>
            <w:shd w:val="clear" w:color="auto" w:fill="F2CEED" w:themeFill="accent5" w:themeFillTint="33"/>
          </w:tcPr>
          <w:p w14:paraId="4F1B228C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projekata/programa</w:t>
            </w:r>
          </w:p>
          <w:p w14:paraId="5F0931B2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7EC45586" w14:textId="26D5E2C6" w:rsidR="003D59B5" w:rsidRPr="003D59B5" w:rsidRDefault="000F4311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21</w:t>
            </w: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4D11EA0B" w14:textId="128CC701" w:rsidR="003D59B5" w:rsidRPr="003D59B5" w:rsidRDefault="000F4311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21</w:t>
            </w: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434C8548" w14:textId="50E5646A" w:rsidR="003D59B5" w:rsidRPr="003D59B5" w:rsidRDefault="000F4311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21</w:t>
            </w:r>
          </w:p>
        </w:tc>
        <w:tc>
          <w:tcPr>
            <w:tcW w:w="1634" w:type="dxa"/>
            <w:shd w:val="clear" w:color="auto" w:fill="F2CEED" w:themeFill="accent5" w:themeFillTint="33"/>
            <w:vAlign w:val="center"/>
          </w:tcPr>
          <w:p w14:paraId="69A1FA76" w14:textId="683FB15F" w:rsidR="003D59B5" w:rsidRPr="003D59B5" w:rsidRDefault="000F4311" w:rsidP="003D5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21</w:t>
            </w:r>
          </w:p>
        </w:tc>
      </w:tr>
    </w:tbl>
    <w:p w14:paraId="40AE1B62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3A19481" w14:textId="666C50F1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Izvještaj o postignutim ciljevima i rezultatima programa temeljenim na pokazateljima uspješnosti u 202</w:t>
      </w:r>
      <w:r w:rsidR="00CF608D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5</w:t>
      </w: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. godini</w:t>
      </w:r>
    </w:p>
    <w:p w14:paraId="48CB0CED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0BBC7CD" w14:textId="5BC7E551" w:rsid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Ostvareno je redovno odvijanje nastavnog procesa, realizirani su svi sadržaji predviđeni Godišnjim planom i programom rada škole te Školskim kurikulumom. Svi učenici su uspješno završili nastavnu godinu, te je realiziran projekt Sjećanje na Vukovar i Škabrnju</w:t>
      </w:r>
      <w:r w:rsidR="00CF608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, </w:t>
      </w:r>
      <w:r w:rsidR="000F43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Mama budi zdrava, Tjedan zdravog doručka, Zeleno srce kuca za nas, Božićni humanitarni sajam..</w:t>
      </w:r>
      <w:r w:rsidRPr="003D59B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2A6039FC" w14:textId="77777777" w:rsidR="000F4311" w:rsidRPr="003D59B5" w:rsidRDefault="000F4311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EECC5EF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C724015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5" w:name="_Hlk212201975"/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PROGRAM 2203 OSNOVNO ŠKOLSTVO – IZNAD STANDARDA</w:t>
      </w:r>
    </w:p>
    <w:p w14:paraId="561152CC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D873" w:themeFill="accent6" w:themeFillTint="99"/>
        <w:tblLook w:val="04A0" w:firstRow="1" w:lastRow="0" w:firstColumn="1" w:lastColumn="0" w:noHBand="0" w:noVBand="1"/>
      </w:tblPr>
      <w:tblGrid>
        <w:gridCol w:w="1849"/>
        <w:gridCol w:w="1187"/>
        <w:gridCol w:w="1289"/>
        <w:gridCol w:w="1187"/>
        <w:gridCol w:w="1190"/>
        <w:gridCol w:w="1386"/>
        <w:gridCol w:w="1389"/>
      </w:tblGrid>
      <w:tr w:rsidR="003D59B5" w:rsidRPr="003D59B5" w14:paraId="6BF94864" w14:textId="77777777" w:rsidTr="0071138F">
        <w:trPr>
          <w:trHeight w:hRule="exact" w:val="781"/>
          <w:jc w:val="center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1A24EE6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AB9B1E1" w14:textId="54F5E294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Izvršenje 202</w:t>
            </w:r>
            <w:r w:rsidR="000F43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0EA0D55" w14:textId="052924FA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0F43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6E0E54D0" w14:textId="357A91C9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0F43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6D88EB9" w14:textId="020B4FCF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0F43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CE81D0F" w14:textId="5A47F7A5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0F43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5FAF97B9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6E5C74C9" w14:textId="5B652194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0F43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 w:rsidR="000F43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3D59B5" w:rsidRPr="003D59B5" w14:paraId="12BADB71" w14:textId="77777777" w:rsidTr="0071138F">
        <w:trPr>
          <w:trHeight w:hRule="exact" w:val="781"/>
          <w:jc w:val="center"/>
        </w:trPr>
        <w:tc>
          <w:tcPr>
            <w:tcW w:w="1851" w:type="dxa"/>
            <w:shd w:val="clear" w:color="auto" w:fill="B3E5A1" w:themeFill="accent6" w:themeFillTint="66"/>
            <w:vAlign w:val="bottom"/>
          </w:tcPr>
          <w:p w14:paraId="555B0A74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2203</w:t>
            </w:r>
          </w:p>
          <w:p w14:paraId="20ACF429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261F9194" w14:textId="14EFCF43" w:rsidR="003D59B5" w:rsidRPr="003D59B5" w:rsidRDefault="000F4311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54.431,00</w:t>
            </w:r>
          </w:p>
        </w:tc>
        <w:tc>
          <w:tcPr>
            <w:tcW w:w="1289" w:type="dxa"/>
            <w:shd w:val="clear" w:color="auto" w:fill="B3E5A1" w:themeFill="accent6" w:themeFillTint="66"/>
            <w:vAlign w:val="center"/>
          </w:tcPr>
          <w:p w14:paraId="24209596" w14:textId="62481494" w:rsidR="003D59B5" w:rsidRPr="003D59B5" w:rsidRDefault="000F4311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75.553,82</w:t>
            </w: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11176586" w14:textId="11EE62D5" w:rsidR="003D59B5" w:rsidRPr="003D59B5" w:rsidRDefault="000F4311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74.526,67</w:t>
            </w: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499E8AD7" w14:textId="4C37A694" w:rsidR="003D59B5" w:rsidRPr="003D59B5" w:rsidRDefault="000F4311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72.800,00</w:t>
            </w:r>
          </w:p>
        </w:tc>
        <w:tc>
          <w:tcPr>
            <w:tcW w:w="1387" w:type="dxa"/>
            <w:shd w:val="clear" w:color="auto" w:fill="B3E5A1" w:themeFill="accent6" w:themeFillTint="66"/>
          </w:tcPr>
          <w:p w14:paraId="624126AE" w14:textId="77777777" w:rsidR="003D59B5" w:rsidRPr="003D59B5" w:rsidRDefault="003D59B5" w:rsidP="003D5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875D379" w14:textId="27F3DDC7" w:rsidR="003D59B5" w:rsidRPr="003D59B5" w:rsidRDefault="000F4311" w:rsidP="003D5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76.779,26</w:t>
            </w:r>
          </w:p>
        </w:tc>
        <w:tc>
          <w:tcPr>
            <w:tcW w:w="1389" w:type="dxa"/>
            <w:shd w:val="clear" w:color="auto" w:fill="B3E5A1" w:themeFill="accent6" w:themeFillTint="66"/>
            <w:vAlign w:val="center"/>
          </w:tcPr>
          <w:p w14:paraId="5B3EC93C" w14:textId="3CED4104" w:rsidR="003D59B5" w:rsidRPr="003D59B5" w:rsidRDefault="000F4311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98,00</w:t>
            </w:r>
            <w:r w:rsidR="003D59B5"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%</w:t>
            </w:r>
          </w:p>
        </w:tc>
      </w:tr>
    </w:tbl>
    <w:p w14:paraId="25812CF5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7A6819A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Opis programa</w:t>
      </w:r>
    </w:p>
    <w:p w14:paraId="79C6DF89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D7A8EDE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Program je namijenjen za podmirenje rashoda školske kuhinje i kantine, nabave udžbenika i drugog obrazovnog materijala, prehrane učenika, nabavu uredske opreme, uredskog materijala, financiranje terenske nastave.</w:t>
      </w:r>
    </w:p>
    <w:p w14:paraId="41C7BD7B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6BCE191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Zakonske i druge pravne osnove</w:t>
      </w:r>
    </w:p>
    <w:p w14:paraId="37262EE6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EE2025F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odgoju i obrazovanju u osnovnoj i srednjoj školi (NN br. 87/08, 86/09, 92/10, 90/11, 5/12, 16./12, 86/12, 126/12, 94/13, 152/14, 07/17, 68/18, 98/19, 64/20, 151/22, 155/23, 156/23), </w:t>
      </w:r>
    </w:p>
    <w:p w14:paraId="4F81E807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ustanovama (NN br. 76/93, 29/97, 47/99, 35/08, 121/19, 151/22) </w:t>
      </w:r>
    </w:p>
    <w:p w14:paraId="45AF3580" w14:textId="7C84D653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proračunu, (NN br. </w:t>
      </w:r>
      <w:r w:rsidR="000F43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144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</w:t>
      </w:r>
      <w:r w:rsidR="000F43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</w:t>
      </w:r>
    </w:p>
    <w:p w14:paraId="6DA44AFC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Pravilnik o proračunskom računovodstvu i računskom planu (NN br. 158/23) </w:t>
      </w:r>
    </w:p>
    <w:p w14:paraId="52DD9D6E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 Zadarske županije</w:t>
      </w:r>
    </w:p>
    <w:p w14:paraId="1AED76C8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izvršenju proračuna Zadarske županije</w:t>
      </w:r>
    </w:p>
    <w:p w14:paraId="22F286C3" w14:textId="67C41A2D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Upute za izradu prijedloga proračuna i financijskih planova upravnih tijela, proračunskih i izvanproračunskih korisnika Zadarske županije za razdoblje 202</w:t>
      </w:r>
      <w:r w:rsidR="000F43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– 202</w:t>
      </w:r>
      <w:r w:rsidR="000F43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</w:t>
      </w:r>
    </w:p>
    <w:p w14:paraId="4D28B1D8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Godišnji plan i program rada Osnovne škole Starigrad,</w:t>
      </w:r>
    </w:p>
    <w:bookmarkEnd w:id="5"/>
    <w:p w14:paraId="2D3B7E7E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Školski kurikulum Osnovne škole Starigrad</w:t>
      </w:r>
    </w:p>
    <w:p w14:paraId="5E706523" w14:textId="77777777" w:rsidR="003D59B5" w:rsidRPr="003D59B5" w:rsidRDefault="003D59B5" w:rsidP="003D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Evidencija sklopljenih ugovora o korištenju školskog stana</w:t>
      </w:r>
    </w:p>
    <w:p w14:paraId="18E4E6DB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547C76D" w14:textId="65319CCF" w:rsidR="000F4311" w:rsidRDefault="000F4311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Aktivnost A2203-01 Javne potrebe u prosvjeti – korisnici</w:t>
      </w:r>
    </w:p>
    <w:p w14:paraId="055DAB22" w14:textId="0A331A4D" w:rsidR="000F4311" w:rsidRDefault="000F4311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CD5F143" w14:textId="2AB1A932" w:rsidR="000F4311" w:rsidRDefault="000F4311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Opis aktivnosti:</w:t>
      </w:r>
    </w:p>
    <w:p w14:paraId="7A48B2F7" w14:textId="532837A8" w:rsidR="000F4311" w:rsidRDefault="000F4311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Izvor financiranja 11 –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Opći prihodi i primici</w:t>
      </w:r>
    </w:p>
    <w:p w14:paraId="3BEEEA9B" w14:textId="74FA8B11" w:rsidR="000F4311" w:rsidRDefault="000F4311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Sredstva za ovu aktivnost odobravaju se od strane Županije temeljem izrađenih programa koji se dostavljaju na objavljeni Javni poziv za predlaganje programa Javnih potrebe u prosvjeti Zadarske županije. Prema uputama Upravnog odjela ove prihode ne planiramo, a po odobrenju Županija ih dodaje u Financijski plan.</w:t>
      </w:r>
    </w:p>
    <w:p w14:paraId="512E3A70" w14:textId="77777777" w:rsidR="0070179F" w:rsidRDefault="0070179F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EC25E9D" w14:textId="6498B395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Aktivnost A2203-04 Podizanje kvalitete i standarda u školstvu</w:t>
      </w:r>
    </w:p>
    <w:p w14:paraId="689DEEE7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235"/>
        <w:gridCol w:w="1235"/>
        <w:gridCol w:w="1350"/>
        <w:gridCol w:w="1354"/>
        <w:gridCol w:w="1239"/>
        <w:gridCol w:w="1363"/>
      </w:tblGrid>
      <w:tr w:rsidR="003D59B5" w:rsidRPr="003D59B5" w14:paraId="6DA90655" w14:textId="77777777" w:rsidTr="0071138F">
        <w:trPr>
          <w:trHeight w:hRule="exact" w:val="819"/>
          <w:jc w:val="center"/>
        </w:trPr>
        <w:tc>
          <w:tcPr>
            <w:tcW w:w="1964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0DE305E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59659381" w14:textId="7F536D9C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Izvršenje 202</w:t>
            </w:r>
            <w:r w:rsidR="007017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8D8A4FD" w14:textId="3D407EEC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7017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1A3E51AF" w14:textId="57018A09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7017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63D05CE5" w14:textId="74F118AF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7017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B88B17B" w14:textId="02433849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7017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560D91ED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61A40D8F" w14:textId="161C9B25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7017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 w:rsidR="0070179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3D59B5" w:rsidRPr="003D59B5" w14:paraId="4746EBC7" w14:textId="77777777" w:rsidTr="0071138F">
        <w:trPr>
          <w:trHeight w:hRule="exact" w:val="819"/>
          <w:jc w:val="center"/>
        </w:trPr>
        <w:tc>
          <w:tcPr>
            <w:tcW w:w="1964" w:type="dxa"/>
            <w:shd w:val="clear" w:color="auto" w:fill="B3E5A1" w:themeFill="accent6" w:themeFillTint="66"/>
          </w:tcPr>
          <w:p w14:paraId="0864CD7D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2BE96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A2203-04</w:t>
            </w:r>
          </w:p>
          <w:p w14:paraId="15A53E8E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238" w:type="dxa"/>
            <w:shd w:val="clear" w:color="auto" w:fill="B3E5A1" w:themeFill="accent6" w:themeFillTint="66"/>
          </w:tcPr>
          <w:p w14:paraId="7F5D7AEA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0415F17" w14:textId="07D45D72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24.867,74</w:t>
            </w:r>
          </w:p>
        </w:tc>
        <w:tc>
          <w:tcPr>
            <w:tcW w:w="1238" w:type="dxa"/>
            <w:shd w:val="clear" w:color="auto" w:fill="B3E5A1" w:themeFill="accent6" w:themeFillTint="66"/>
          </w:tcPr>
          <w:p w14:paraId="26E9C767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1939048" w14:textId="32BBAE91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39.795,82</w:t>
            </w:r>
          </w:p>
        </w:tc>
        <w:tc>
          <w:tcPr>
            <w:tcW w:w="1359" w:type="dxa"/>
            <w:shd w:val="clear" w:color="auto" w:fill="B3E5A1" w:themeFill="accent6" w:themeFillTint="66"/>
          </w:tcPr>
          <w:p w14:paraId="45132081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9D2C291" w14:textId="3D626EB6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43.446,67</w:t>
            </w:r>
          </w:p>
          <w:p w14:paraId="757EF60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62" w:type="dxa"/>
            <w:shd w:val="clear" w:color="auto" w:fill="B3E5A1" w:themeFill="accent6" w:themeFillTint="66"/>
          </w:tcPr>
          <w:p w14:paraId="22B0B9EB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0D92457" w14:textId="3A3AF7E6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44.098,37</w:t>
            </w:r>
          </w:p>
        </w:tc>
        <w:tc>
          <w:tcPr>
            <w:tcW w:w="1241" w:type="dxa"/>
            <w:shd w:val="clear" w:color="auto" w:fill="B3E5A1" w:themeFill="accent6" w:themeFillTint="66"/>
            <w:vAlign w:val="center"/>
          </w:tcPr>
          <w:p w14:paraId="555411BE" w14:textId="519C2A54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44.759,87</w:t>
            </w:r>
          </w:p>
        </w:tc>
        <w:tc>
          <w:tcPr>
            <w:tcW w:w="1298" w:type="dxa"/>
            <w:shd w:val="clear" w:color="auto" w:fill="B3E5A1" w:themeFill="accent6" w:themeFillTint="66"/>
          </w:tcPr>
          <w:p w14:paraId="153994D8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D0FEEBF" w14:textId="4D3F0C57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109,00</w:t>
            </w:r>
            <w:r w:rsidR="003D59B5"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%</w:t>
            </w:r>
          </w:p>
        </w:tc>
      </w:tr>
    </w:tbl>
    <w:p w14:paraId="06D01BB2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8C32C70" w14:textId="77777777" w:rsid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Opis aktivnosti:</w:t>
      </w:r>
    </w:p>
    <w:p w14:paraId="74CFA4D6" w14:textId="2F4EF640" w:rsidR="0070179F" w:rsidRDefault="0070179F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Izvor financiranja:</w:t>
      </w:r>
    </w:p>
    <w:p w14:paraId="421051BA" w14:textId="4A5F2DD8" w:rsidR="0070179F" w:rsidRDefault="0070179F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31 –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Vlastiti prihodi – korisnici</w:t>
      </w:r>
    </w:p>
    <w:p w14:paraId="66285B5B" w14:textId="66D28B48" w:rsidR="0070179F" w:rsidRDefault="0070179F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70179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42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– Višak/manjak prihoda korisnici</w:t>
      </w:r>
    </w:p>
    <w:p w14:paraId="58000A41" w14:textId="69CC722B" w:rsidR="0070179F" w:rsidRDefault="0070179F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70179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53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– Proračun JLS</w:t>
      </w:r>
    </w:p>
    <w:p w14:paraId="5E625C7E" w14:textId="7AA361F7" w:rsidR="0070179F" w:rsidRDefault="0070179F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70179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61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– Tekuće donacije</w:t>
      </w:r>
    </w:p>
    <w:p w14:paraId="31305CE2" w14:textId="6D27A636" w:rsidR="0070179F" w:rsidRDefault="0070179F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70179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71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– Prihodi od prodaje nefinancijske imovine</w:t>
      </w:r>
    </w:p>
    <w:p w14:paraId="728CCE67" w14:textId="6199840D" w:rsidR="003D59B5" w:rsidRDefault="0070179F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70179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51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– Državni proračun</w:t>
      </w:r>
    </w:p>
    <w:p w14:paraId="6FFCFB6D" w14:textId="77777777" w:rsidR="009B0DA0" w:rsidRPr="009B0DA0" w:rsidRDefault="009B0DA0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1ED7403A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Aktivnost je namijenjena financiranju rashoda poslovanja, materijalnih troškova, usluga, nabave opreme,  stručno usavršavanje i nabavu dodatnih obrazovnih materijala. Također, namijenjeno je za projekt ranog učenja njemačkog jezika koji se provodi od školske godine 2018/2019. Na taj način je omogućeno učenicima da drugi strani jezik uče već od 1. razreda.</w:t>
      </w:r>
    </w:p>
    <w:p w14:paraId="0416B176" w14:textId="77777777" w:rsid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50261AB" w14:textId="77777777" w:rsidR="009B0DA0" w:rsidRPr="003D59B5" w:rsidRDefault="009B0DA0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5A2AAFE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Aktivnost A2203-06 Školska kuhinja i kantina</w:t>
      </w:r>
    </w:p>
    <w:p w14:paraId="5F0939EC" w14:textId="77777777" w:rsidR="00A574F9" w:rsidRPr="003D59B5" w:rsidRDefault="00A574F9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247"/>
        <w:gridCol w:w="1371"/>
        <w:gridCol w:w="1371"/>
        <w:gridCol w:w="1371"/>
        <w:gridCol w:w="1444"/>
        <w:gridCol w:w="1444"/>
      </w:tblGrid>
      <w:tr w:rsidR="003D59B5" w:rsidRPr="003D59B5" w14:paraId="2815B923" w14:textId="77777777" w:rsidTr="0071138F">
        <w:trPr>
          <w:trHeight w:val="765"/>
          <w:jc w:val="center"/>
        </w:trPr>
        <w:tc>
          <w:tcPr>
            <w:tcW w:w="1746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1953CA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543F202" w14:textId="116FF638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Izvršenje  202</w:t>
            </w:r>
            <w:r w:rsidR="00701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AA82ACA" w14:textId="76B48BBC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701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07E6F29" w14:textId="46E0B78F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701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D7B4152" w14:textId="25CD18DF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701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C85E74A" w14:textId="59416F76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701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806EF81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7D1EF7CF" w14:textId="0815CE9A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701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 w:rsidR="00701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3D59B5" w:rsidRPr="003D59B5" w14:paraId="453479D8" w14:textId="77777777" w:rsidTr="0071138F">
        <w:trPr>
          <w:trHeight w:val="765"/>
          <w:jc w:val="center"/>
        </w:trPr>
        <w:tc>
          <w:tcPr>
            <w:tcW w:w="1746" w:type="dxa"/>
            <w:shd w:val="clear" w:color="auto" w:fill="B3E5A1" w:themeFill="accent6" w:themeFillTint="66"/>
          </w:tcPr>
          <w:p w14:paraId="646C2DC8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5254918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A2203-06</w:t>
            </w:r>
          </w:p>
          <w:p w14:paraId="2271E5BA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686D968" w14:textId="64BE991B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123,33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E4F0D2B" w14:textId="7672D4F2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300,00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9B93923" w14:textId="6A527119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1D1B9C7" w14:textId="680E9C76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304,50</w:t>
            </w:r>
          </w:p>
        </w:tc>
        <w:tc>
          <w:tcPr>
            <w:tcW w:w="1444" w:type="dxa"/>
            <w:shd w:val="clear" w:color="auto" w:fill="B3E5A1" w:themeFill="accent6" w:themeFillTint="66"/>
            <w:vAlign w:val="center"/>
          </w:tcPr>
          <w:p w14:paraId="35D0B467" w14:textId="5DF9B2B4" w:rsidR="003D59B5" w:rsidRPr="003D59B5" w:rsidRDefault="0070179F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309,07</w:t>
            </w:r>
          </w:p>
        </w:tc>
        <w:tc>
          <w:tcPr>
            <w:tcW w:w="1444" w:type="dxa"/>
            <w:shd w:val="clear" w:color="auto" w:fill="B3E5A1" w:themeFill="accent6" w:themeFillTint="66"/>
            <w:vAlign w:val="center"/>
          </w:tcPr>
          <w:p w14:paraId="22A5943C" w14:textId="4F883D16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100,00</w:t>
            </w:r>
            <w:r w:rsidR="003D59B5"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%</w:t>
            </w:r>
          </w:p>
        </w:tc>
      </w:tr>
    </w:tbl>
    <w:p w14:paraId="09332837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9A8A2B" w14:textId="77777777" w:rsid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Opis aktivnosti:</w:t>
      </w:r>
    </w:p>
    <w:p w14:paraId="65B35256" w14:textId="5D3B1458" w:rsidR="003D59B5" w:rsidRPr="00144B44" w:rsidRDefault="00A574F9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Izvor financiranja 42 –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Višak/manjak prihoda korisnici</w:t>
      </w:r>
    </w:p>
    <w:p w14:paraId="1917EA16" w14:textId="784515E4" w:rsidR="00A574F9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Početkom 2023. Ministarstvo znanosti i obrazovanja preuzelo je u cijelosti financiranje školske marende za učenike. Aktivnost služi za financiranje materijalnih troškova za potrebe školske kuhinje</w:t>
      </w:r>
      <w:r w:rsidR="00144B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0EA8177B" w14:textId="77777777" w:rsidR="009B0DA0" w:rsidRDefault="009B0DA0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7FF8DB4" w14:textId="77777777" w:rsidR="009B0DA0" w:rsidRDefault="009B0DA0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32A9A74" w14:textId="7FFFF2F0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Aktivnost A2203-27  Udžbenici </w:t>
      </w:r>
    </w:p>
    <w:p w14:paraId="3E3EE0DB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219"/>
        <w:gridCol w:w="1340"/>
        <w:gridCol w:w="1340"/>
        <w:gridCol w:w="1340"/>
        <w:gridCol w:w="1411"/>
        <w:gridCol w:w="1411"/>
      </w:tblGrid>
      <w:tr w:rsidR="003D59B5" w:rsidRPr="003D59B5" w14:paraId="03154829" w14:textId="77777777" w:rsidTr="0071138F">
        <w:trPr>
          <w:trHeight w:hRule="exact" w:val="759"/>
          <w:jc w:val="center"/>
        </w:trPr>
        <w:tc>
          <w:tcPr>
            <w:tcW w:w="1706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0D450BED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CE738D3" w14:textId="40823394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Izvršenje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D7BB332" w14:textId="7B30745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D965603" w14:textId="71E10ED4" w:rsidR="00A574F9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1B6E8A8F" w14:textId="20B53B22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AC63EC7" w14:textId="16ADB106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263464A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558C513C" w14:textId="3659EF26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3D59B5" w:rsidRPr="003D59B5" w14:paraId="20C6E9C2" w14:textId="77777777" w:rsidTr="0071138F">
        <w:trPr>
          <w:trHeight w:hRule="exact" w:val="759"/>
          <w:jc w:val="center"/>
        </w:trPr>
        <w:tc>
          <w:tcPr>
            <w:tcW w:w="1706" w:type="dxa"/>
            <w:shd w:val="clear" w:color="auto" w:fill="B3E5A1" w:themeFill="accent6" w:themeFillTint="66"/>
          </w:tcPr>
          <w:p w14:paraId="627E0CCE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8BE38B8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A2203-27</w:t>
            </w:r>
          </w:p>
          <w:p w14:paraId="5492BB51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C28EF6A" w14:textId="7E101C1C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10.729,31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97578F1" w14:textId="14251F78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8.940,00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AADA1AC" w14:textId="7120AC23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6.000,00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2202172" w14:textId="51DC2A3B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6.090,00</w:t>
            </w:r>
          </w:p>
        </w:tc>
        <w:tc>
          <w:tcPr>
            <w:tcW w:w="1411" w:type="dxa"/>
            <w:shd w:val="clear" w:color="auto" w:fill="B3E5A1" w:themeFill="accent6" w:themeFillTint="66"/>
            <w:vAlign w:val="center"/>
          </w:tcPr>
          <w:p w14:paraId="35AFE3B6" w14:textId="47CD3FCE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6.181,35</w:t>
            </w:r>
          </w:p>
        </w:tc>
        <w:tc>
          <w:tcPr>
            <w:tcW w:w="1411" w:type="dxa"/>
            <w:shd w:val="clear" w:color="auto" w:fill="B3E5A1" w:themeFill="accent6" w:themeFillTint="66"/>
          </w:tcPr>
          <w:p w14:paraId="37BF9A07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C84E15F" w14:textId="1A362E68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67,00</w:t>
            </w:r>
            <w:r w:rsidR="003D59B5"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%</w:t>
            </w:r>
          </w:p>
        </w:tc>
      </w:tr>
    </w:tbl>
    <w:p w14:paraId="0A026EB4" w14:textId="77777777" w:rsid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8FA7BC" w14:textId="77777777" w:rsidR="009B0DA0" w:rsidRDefault="009B0DA0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E58626" w14:textId="77777777" w:rsidR="009B0DA0" w:rsidRPr="009B0DA0" w:rsidRDefault="009B0DA0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5D9DD9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lastRenderedPageBreak/>
        <w:t>Opis aktivnosti:</w:t>
      </w:r>
    </w:p>
    <w:p w14:paraId="6C2C880E" w14:textId="77777777" w:rsidR="009B0DA0" w:rsidRDefault="00A574F9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Izvor financiranja 51 –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Državni proračun</w:t>
      </w:r>
    </w:p>
    <w:p w14:paraId="27CB9C82" w14:textId="18A42502" w:rsidR="003D59B5" w:rsidRPr="009B0DA0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Aktivnost služi za financiranje udžbenika i knjiga kao prigodan poklon za sudjelovanja na natjecanjima. Ministarstvo znanosti i obrazovanja financira nabavu udžbenika za učenike osnovnih škola.  </w:t>
      </w:r>
    </w:p>
    <w:p w14:paraId="493FDC5A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F53A38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C741CC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Aktivnost A2203-33  Prehrana za učenike</w:t>
      </w:r>
    </w:p>
    <w:p w14:paraId="40C6C9C5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210"/>
        <w:gridCol w:w="1330"/>
        <w:gridCol w:w="1330"/>
        <w:gridCol w:w="1330"/>
        <w:gridCol w:w="1402"/>
        <w:gridCol w:w="1402"/>
      </w:tblGrid>
      <w:tr w:rsidR="003D59B5" w:rsidRPr="003D59B5" w14:paraId="486ABC66" w14:textId="77777777" w:rsidTr="0071138F">
        <w:trPr>
          <w:trHeight w:val="814"/>
          <w:jc w:val="center"/>
        </w:trPr>
        <w:tc>
          <w:tcPr>
            <w:tcW w:w="1695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5375D97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580E2738" w14:textId="41025253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Izvršenje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203867B" w14:textId="210B262D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C4AEF2E" w14:textId="5C5841BC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1C69106" w14:textId="3A52EE4C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69B680CC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</w:t>
            </w:r>
          </w:p>
          <w:p w14:paraId="1978086C" w14:textId="6D7DC8DB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CE7E9C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5801641E" w14:textId="7E460A36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3D59B5" w:rsidRPr="003D59B5" w14:paraId="7139A4F9" w14:textId="77777777" w:rsidTr="0071138F">
        <w:trPr>
          <w:trHeight w:val="814"/>
          <w:jc w:val="center"/>
        </w:trPr>
        <w:tc>
          <w:tcPr>
            <w:tcW w:w="1695" w:type="dxa"/>
            <w:shd w:val="clear" w:color="auto" w:fill="B3E5A1" w:themeFill="accent6" w:themeFillTint="66"/>
          </w:tcPr>
          <w:p w14:paraId="41CA654E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C9D296C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A2203-33</w:t>
            </w:r>
          </w:p>
          <w:p w14:paraId="044ABDAC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25B341E" w14:textId="7B14A941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23.873,46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FEB4B6C" w14:textId="487CCB2A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26.518,00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0B956FC" w14:textId="4404B76B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24.500,00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14AD8D7" w14:textId="20DD5CE8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24.867,50</w:t>
            </w:r>
          </w:p>
        </w:tc>
        <w:tc>
          <w:tcPr>
            <w:tcW w:w="1402" w:type="dxa"/>
            <w:shd w:val="clear" w:color="auto" w:fill="B3E5A1" w:themeFill="accent6" w:themeFillTint="66"/>
            <w:vAlign w:val="center"/>
          </w:tcPr>
          <w:p w14:paraId="4F6D7B08" w14:textId="399D1BC5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25.240,51</w:t>
            </w:r>
          </w:p>
        </w:tc>
        <w:tc>
          <w:tcPr>
            <w:tcW w:w="1402" w:type="dxa"/>
            <w:shd w:val="clear" w:color="auto" w:fill="B3E5A1" w:themeFill="accent6" w:themeFillTint="66"/>
          </w:tcPr>
          <w:p w14:paraId="3615D45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E7F35A3" w14:textId="34169482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92,00</w:t>
            </w:r>
            <w:r w:rsidR="003D59B5"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%</w:t>
            </w:r>
          </w:p>
        </w:tc>
      </w:tr>
    </w:tbl>
    <w:p w14:paraId="4B7AE0EA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4133F9C" w14:textId="77777777" w:rsid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Opis aktivnosti:</w:t>
      </w:r>
    </w:p>
    <w:p w14:paraId="3B1AA482" w14:textId="218F1B4D" w:rsidR="00A574F9" w:rsidRPr="00A574F9" w:rsidRDefault="00A574F9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Izvor financiranja 51 –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Državni proračun</w:t>
      </w:r>
    </w:p>
    <w:p w14:paraId="7EE17AA6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Aktivnost služi financiranju školske marende za učenike. Početkom 2023. Ministarstvo znanosti i obrazovanja preuzelo je u cijelosti financiranje školske marende za učenike. Cijena obroka iznosi 1,33 €. </w:t>
      </w:r>
    </w:p>
    <w:p w14:paraId="1AC827AD" w14:textId="77777777" w:rsid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6756DB4" w14:textId="77777777" w:rsidR="00A574F9" w:rsidRPr="003D59B5" w:rsidRDefault="00A574F9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A6E40E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Aktivnost A2203-34  Zalihe higijenskih potrepština</w:t>
      </w:r>
    </w:p>
    <w:p w14:paraId="1897F7F7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1268"/>
        <w:gridCol w:w="1394"/>
        <w:gridCol w:w="1394"/>
        <w:gridCol w:w="1394"/>
        <w:gridCol w:w="1468"/>
        <w:gridCol w:w="1468"/>
      </w:tblGrid>
      <w:tr w:rsidR="003D59B5" w:rsidRPr="003D59B5" w14:paraId="3891EBF0" w14:textId="77777777" w:rsidTr="0071138F">
        <w:trPr>
          <w:trHeight w:val="722"/>
          <w:jc w:val="center"/>
        </w:trPr>
        <w:tc>
          <w:tcPr>
            <w:tcW w:w="1775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19106F2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684523B" w14:textId="24DC0F8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Izvršenje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D5363F8" w14:textId="738DAE3E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32F0652" w14:textId="6575C263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E1260D6" w14:textId="69E61E5B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2219E4E9" w14:textId="526AF0CA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566F792A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0D8814C8" w14:textId="64971930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 w:rsidR="00A574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3D59B5" w:rsidRPr="003D59B5" w14:paraId="1C2FFBDF" w14:textId="77777777" w:rsidTr="0071138F">
        <w:trPr>
          <w:trHeight w:val="722"/>
          <w:jc w:val="center"/>
        </w:trPr>
        <w:tc>
          <w:tcPr>
            <w:tcW w:w="1775" w:type="dxa"/>
            <w:shd w:val="clear" w:color="auto" w:fill="B3E5A1" w:themeFill="accent6" w:themeFillTint="66"/>
          </w:tcPr>
          <w:p w14:paraId="51152144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2AA07B1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A2203-34</w:t>
            </w:r>
          </w:p>
          <w:p w14:paraId="3FF5F0E9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927EBCA" w14:textId="4D6D601B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270,00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B8D99B8" w14:textId="38DC2468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24F12EB" w14:textId="2F2732CA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280,00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E958A94" w14:textId="718F92CA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284,20</w:t>
            </w:r>
          </w:p>
        </w:tc>
        <w:tc>
          <w:tcPr>
            <w:tcW w:w="1468" w:type="dxa"/>
            <w:shd w:val="clear" w:color="auto" w:fill="B3E5A1" w:themeFill="accent6" w:themeFillTint="66"/>
            <w:vAlign w:val="center"/>
          </w:tcPr>
          <w:p w14:paraId="69F214FF" w14:textId="52BA7742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288,46</w:t>
            </w:r>
          </w:p>
        </w:tc>
        <w:tc>
          <w:tcPr>
            <w:tcW w:w="1468" w:type="dxa"/>
            <w:shd w:val="clear" w:color="auto" w:fill="B3E5A1" w:themeFill="accent6" w:themeFillTint="66"/>
          </w:tcPr>
          <w:p w14:paraId="071C748D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9AFE6A3" w14:textId="5A21DD54" w:rsidR="003D59B5" w:rsidRPr="003D59B5" w:rsidRDefault="00A574F9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  <w:r w:rsidR="003D59B5"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%</w:t>
            </w:r>
          </w:p>
        </w:tc>
      </w:tr>
    </w:tbl>
    <w:p w14:paraId="77DE48C4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9A6E3B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Opis aktivnosti: </w:t>
      </w:r>
    </w:p>
    <w:p w14:paraId="30839DFC" w14:textId="20F240FF" w:rsidR="003D59B5" w:rsidRDefault="00A574F9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4B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Izvor financiranja</w:t>
      </w:r>
      <w:r w:rsidR="00144B44" w:rsidRPr="00144B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51</w:t>
      </w:r>
      <w:r w:rsidR="00144B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Državni proračun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4508A23" w14:textId="77777777" w:rsidR="003D59B5" w:rsidRPr="003D59B5" w:rsidRDefault="003D59B5" w:rsidP="003D59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Aktivnost služi financiranju menstrualnih higijenskih potrepština za učenice slabijeg imovinskog stanja. Početkom 2023. Ministarstvo znanosti i obrazovanja je pokrenulo projekt osiguravanja zalihe menstrualnih higijenskih potrepština za učenice slabijeg imovinskog stanja. </w:t>
      </w:r>
    </w:p>
    <w:p w14:paraId="60D04664" w14:textId="77777777" w:rsid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3D3BD4B" w14:textId="77777777" w:rsidR="00144B44" w:rsidRDefault="00144B44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AC9B745" w14:textId="77777777" w:rsidR="00144B44" w:rsidRDefault="00144B44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2B323F5" w14:textId="77777777" w:rsidR="00144B44" w:rsidRPr="003D59B5" w:rsidRDefault="00144B44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12956D3" w14:textId="60979556" w:rsidR="003D59B5" w:rsidRPr="003D59B5" w:rsidRDefault="00B45196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Svrha</w:t>
      </w:r>
      <w:r w:rsidR="003D59B5"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provedbe programa u razdoblju 202</w:t>
      </w:r>
      <w:r w:rsidR="00144B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="003D59B5"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– 202</w:t>
      </w:r>
      <w:r w:rsidR="00144B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8</w:t>
      </w:r>
      <w:r w:rsidR="003D59B5"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i pokazatelji uspješnosti kojima će se mjeriti ostvarenje tih ciljeva</w:t>
      </w:r>
    </w:p>
    <w:p w14:paraId="19F4B718" w14:textId="77777777" w:rsidR="003D59B5" w:rsidRP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C20D069" w14:textId="3279A933" w:rsidR="003D59B5" w:rsidRPr="003D59B5" w:rsidRDefault="003D59B5" w:rsidP="003D59B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Cjelovito, pravodobno, redovno i točno podmirenje svih rashoda proizašlih iz davanja na korištenje školskog stana</w:t>
      </w:r>
      <w:r w:rsidR="00144B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podmirenje neplaćenih rashoda koji se financiraju iz standarda, pažljivim i namjenskih izvršenjem financijskog plana</w:t>
      </w:r>
    </w:p>
    <w:p w14:paraId="71E82AED" w14:textId="77777777" w:rsidR="003D59B5" w:rsidRPr="003D59B5" w:rsidRDefault="003D59B5" w:rsidP="003D59B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Osiguranje i unapređenje kvalitete nastave, poučavanja i učenja i jačanje kapaciteta učenika, korištenjem suvremenih nastavnih sredstava i pomagala</w:t>
      </w:r>
    </w:p>
    <w:p w14:paraId="72C3BDAE" w14:textId="77777777" w:rsidR="003D59B5" w:rsidRPr="003D59B5" w:rsidRDefault="003D59B5" w:rsidP="003D59B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Ulaganje u školu u smislu obnove i radova</w:t>
      </w:r>
    </w:p>
    <w:p w14:paraId="5A50B884" w14:textId="77777777" w:rsidR="003D59B5" w:rsidRP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C386FA" w14:textId="77777777" w:rsidR="003D59B5" w:rsidRP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Pokazatelji rezultata</w:t>
      </w:r>
    </w:p>
    <w:p w14:paraId="191E1BA9" w14:textId="77777777" w:rsidR="003D59B5" w:rsidRP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317D905" w14:textId="77777777" w:rsidR="003D59B5" w:rsidRP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Cilj 3. Ulaganje u školu u smislu obnove i radova</w:t>
      </w:r>
    </w:p>
    <w:p w14:paraId="34ED5841" w14:textId="77777777" w:rsidR="003D59B5" w:rsidRP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9EDC" w:themeFill="accent5" w:themeFillTint="66"/>
        <w:tblLook w:val="04A0" w:firstRow="1" w:lastRow="0" w:firstColumn="1" w:lastColumn="0" w:noHBand="0" w:noVBand="1"/>
      </w:tblPr>
      <w:tblGrid>
        <w:gridCol w:w="1980"/>
        <w:gridCol w:w="1558"/>
        <w:gridCol w:w="1590"/>
        <w:gridCol w:w="1590"/>
        <w:gridCol w:w="1590"/>
        <w:gridCol w:w="1634"/>
      </w:tblGrid>
      <w:tr w:rsidR="003D59B5" w:rsidRPr="003D59B5" w14:paraId="581F0FC4" w14:textId="77777777" w:rsidTr="0071138F">
        <w:trPr>
          <w:trHeight w:hRule="exact" w:val="102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FC3EA"/>
          </w:tcPr>
          <w:p w14:paraId="105F7B60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Pokazatelj rezultata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EFC3EA"/>
          </w:tcPr>
          <w:p w14:paraId="3A0CC979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Jedinica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1799F842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Polazna vrijednost</w:t>
            </w:r>
          </w:p>
          <w:p w14:paraId="08D5B287" w14:textId="02A8CB92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144B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092EA184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Ciljana vrijednost </w:t>
            </w:r>
          </w:p>
          <w:p w14:paraId="5CF6E878" w14:textId="42F4C4A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144B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FC3EA"/>
          </w:tcPr>
          <w:p w14:paraId="0741212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Ciljana vrijednost</w:t>
            </w:r>
          </w:p>
          <w:p w14:paraId="68A2B687" w14:textId="1B958EE6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144B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EFC3EA"/>
          </w:tcPr>
          <w:p w14:paraId="45414A8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Ciljana vrijednost</w:t>
            </w:r>
          </w:p>
          <w:p w14:paraId="74D630E7" w14:textId="005F1B60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(202</w:t>
            </w:r>
            <w:r w:rsidR="00144B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</w:tr>
      <w:tr w:rsidR="003D59B5" w:rsidRPr="003D59B5" w14:paraId="0974F52A" w14:textId="77777777" w:rsidTr="0071138F">
        <w:trPr>
          <w:trHeight w:hRule="exact" w:val="1269"/>
        </w:trPr>
        <w:tc>
          <w:tcPr>
            <w:tcW w:w="1980" w:type="dxa"/>
            <w:shd w:val="clear" w:color="auto" w:fill="F2CEED" w:themeFill="accent5" w:themeFillTint="33"/>
          </w:tcPr>
          <w:p w14:paraId="3AACCA2A" w14:textId="7F02AF0B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Nabava </w:t>
            </w:r>
            <w:r w:rsidR="00144B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nematerijalne proizvedene imovine</w:t>
            </w:r>
          </w:p>
          <w:p w14:paraId="11D47FA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8" w:type="dxa"/>
            <w:shd w:val="clear" w:color="auto" w:fill="F2CEED" w:themeFill="accent5" w:themeFillTint="33"/>
          </w:tcPr>
          <w:p w14:paraId="2033088F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nabavljene</w:t>
            </w:r>
          </w:p>
          <w:p w14:paraId="60DC2153" w14:textId="3F57D054" w:rsidR="003D59B5" w:rsidRPr="003D59B5" w:rsidRDefault="00144B44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imovine</w:t>
            </w:r>
          </w:p>
          <w:p w14:paraId="77F76303" w14:textId="77777777" w:rsidR="003D59B5" w:rsidRPr="003D59B5" w:rsidRDefault="003D59B5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689E5F93" w14:textId="77781763" w:rsidR="003D59B5" w:rsidRPr="003D59B5" w:rsidRDefault="00144B44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1EC5836A" w14:textId="57117C37" w:rsidR="003D59B5" w:rsidRPr="003D59B5" w:rsidRDefault="00144B44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1590" w:type="dxa"/>
            <w:shd w:val="clear" w:color="auto" w:fill="F2CEED" w:themeFill="accent5" w:themeFillTint="33"/>
            <w:vAlign w:val="center"/>
          </w:tcPr>
          <w:p w14:paraId="1A4F3A66" w14:textId="5D2419D9" w:rsidR="003D59B5" w:rsidRPr="003D59B5" w:rsidRDefault="00144B44" w:rsidP="003D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  <w:tc>
          <w:tcPr>
            <w:tcW w:w="1634" w:type="dxa"/>
            <w:shd w:val="clear" w:color="auto" w:fill="F2CEED" w:themeFill="accent5" w:themeFillTint="33"/>
            <w:vAlign w:val="center"/>
          </w:tcPr>
          <w:p w14:paraId="6C801A11" w14:textId="25D839DB" w:rsidR="003D59B5" w:rsidRPr="003D59B5" w:rsidRDefault="00144B44" w:rsidP="003D59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</w:p>
        </w:tc>
      </w:tr>
    </w:tbl>
    <w:p w14:paraId="66EE10D1" w14:textId="77777777" w:rsidR="003D59B5" w:rsidRP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608037B" w14:textId="77777777" w:rsidR="003D59B5" w:rsidRP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8E768F" w14:textId="1F8AB646" w:rsidR="003D59B5" w:rsidRP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Izvještaj o postignutim ciljevima i rezultatima programa temeljenim na pokazateljima uspješnosti u 202</w:t>
      </w:r>
      <w:r w:rsidR="00144B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</w:t>
      </w: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godini</w:t>
      </w:r>
    </w:p>
    <w:p w14:paraId="6766F96E" w14:textId="77777777" w:rsidR="003D59B5" w:rsidRP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47BD49D" w14:textId="397AC091" w:rsidR="003D59B5" w:rsidRPr="003D59B5" w:rsidRDefault="003D59B5" w:rsidP="003D59B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Učenicima je omogućena besplatna školska marenda koja je financirana od strane MZO, program je nastavljen i u školskog godini 202</w:t>
      </w:r>
      <w:r w:rsidR="00144B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./202</w:t>
      </w:r>
      <w:r w:rsidR="00144B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D987B34" w14:textId="77777777" w:rsidR="003D59B5" w:rsidRPr="003D59B5" w:rsidRDefault="003D59B5" w:rsidP="003D59B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Nabavljeni su udžbenici za sve učenike financirani od strane MZO, kao i dodatni obrazovni materijal financiran od strane JLS</w:t>
      </w:r>
    </w:p>
    <w:p w14:paraId="460F4409" w14:textId="68785201" w:rsidR="003D59B5" w:rsidRPr="00144B44" w:rsidRDefault="003D59B5" w:rsidP="00144B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Učenicama su osigurane Zalihe menstrualnih higijenskih potrepština</w:t>
      </w:r>
    </w:p>
    <w:p w14:paraId="63337322" w14:textId="7E90ADCC" w:rsidR="00144B44" w:rsidRPr="00AF2830" w:rsidRDefault="00AF2830" w:rsidP="003D59B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Učenici sudjeluju na smotri dječjeg stvaralaštva „Lidranu“</w:t>
      </w:r>
    </w:p>
    <w:p w14:paraId="32266D94" w14:textId="11E5E0E2" w:rsidR="00AF2830" w:rsidRPr="003D59B5" w:rsidRDefault="00AF2830" w:rsidP="003D59B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Veći broj učenika od 5. do 8. razreda uključen u program Robotika sa kojim ase radi na individualnom razvijanju i usmjeravanju u računalne inovacije gdje su učenici postigli zavidne rezultate</w:t>
      </w:r>
    </w:p>
    <w:p w14:paraId="5B7091DE" w14:textId="77777777" w:rsidR="003D59B5" w:rsidRDefault="003D59B5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0719A87" w14:textId="77777777" w:rsidR="00AF2830" w:rsidRDefault="00AF2830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CDF1A6D" w14:textId="63A1E59B" w:rsidR="00AF2830" w:rsidRPr="003D59B5" w:rsidRDefault="00AF2830" w:rsidP="00AF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PROGRAM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4306</w:t>
      </w: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  <w:r w:rsidR="00B451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NACIONALNI EU PROJEKTI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6057A2C" w14:textId="77777777" w:rsidR="00AF2830" w:rsidRPr="003D59B5" w:rsidRDefault="00AF2830" w:rsidP="00AF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D873" w:themeFill="accent6" w:themeFillTint="99"/>
        <w:tblLook w:val="04A0" w:firstRow="1" w:lastRow="0" w:firstColumn="1" w:lastColumn="0" w:noHBand="0" w:noVBand="1"/>
      </w:tblPr>
      <w:tblGrid>
        <w:gridCol w:w="1850"/>
        <w:gridCol w:w="1187"/>
        <w:gridCol w:w="1288"/>
        <w:gridCol w:w="1186"/>
        <w:gridCol w:w="1190"/>
        <w:gridCol w:w="1387"/>
        <w:gridCol w:w="1389"/>
      </w:tblGrid>
      <w:tr w:rsidR="00AF2830" w:rsidRPr="003D59B5" w14:paraId="529925AF" w14:textId="77777777" w:rsidTr="000B11A2">
        <w:trPr>
          <w:trHeight w:hRule="exact" w:val="781"/>
          <w:jc w:val="center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B2CDB1F" w14:textId="77777777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02DF3F1C" w14:textId="77777777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Izvršenje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984B89D" w14:textId="77777777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03AB35A9" w14:textId="77777777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5A36379C" w14:textId="77777777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6D0043BF" w14:textId="77777777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E33DBB1" w14:textId="77777777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667FDEF4" w14:textId="77777777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AF2830" w:rsidRPr="003D59B5" w14:paraId="13DB3307" w14:textId="77777777" w:rsidTr="000B11A2">
        <w:trPr>
          <w:trHeight w:hRule="exact" w:val="781"/>
          <w:jc w:val="center"/>
        </w:trPr>
        <w:tc>
          <w:tcPr>
            <w:tcW w:w="1851" w:type="dxa"/>
            <w:shd w:val="clear" w:color="auto" w:fill="B3E5A1" w:themeFill="accent6" w:themeFillTint="66"/>
            <w:vAlign w:val="bottom"/>
          </w:tcPr>
          <w:p w14:paraId="58478BC1" w14:textId="01B133A7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4306</w:t>
            </w:r>
          </w:p>
          <w:p w14:paraId="4BC95B81" w14:textId="77777777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06C84F64" w14:textId="7830F59A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15.416,39</w:t>
            </w:r>
          </w:p>
        </w:tc>
        <w:tc>
          <w:tcPr>
            <w:tcW w:w="1289" w:type="dxa"/>
            <w:shd w:val="clear" w:color="auto" w:fill="B3E5A1" w:themeFill="accent6" w:themeFillTint="66"/>
            <w:vAlign w:val="center"/>
          </w:tcPr>
          <w:p w14:paraId="4D9A558B" w14:textId="41CC1740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34D08166" w14:textId="28C2C1B0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3E00FFF8" w14:textId="396E2738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387" w:type="dxa"/>
            <w:shd w:val="clear" w:color="auto" w:fill="B3E5A1" w:themeFill="accent6" w:themeFillTint="66"/>
          </w:tcPr>
          <w:p w14:paraId="4768A5BC" w14:textId="77777777" w:rsidR="00AF2830" w:rsidRPr="003D59B5" w:rsidRDefault="00AF2830" w:rsidP="000B1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4AAF291" w14:textId="66F91F8A" w:rsidR="00AF2830" w:rsidRPr="003D59B5" w:rsidRDefault="00AF2830" w:rsidP="000B1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1389" w:type="dxa"/>
            <w:shd w:val="clear" w:color="auto" w:fill="B3E5A1" w:themeFill="accent6" w:themeFillTint="66"/>
            <w:vAlign w:val="center"/>
          </w:tcPr>
          <w:p w14:paraId="7D287346" w14:textId="51B64C5A" w:rsidR="00AF2830" w:rsidRPr="003D59B5" w:rsidRDefault="00AF2830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%</w:t>
            </w:r>
          </w:p>
        </w:tc>
      </w:tr>
    </w:tbl>
    <w:p w14:paraId="72E3D5C3" w14:textId="77777777" w:rsidR="00AF2830" w:rsidRDefault="00AF2830" w:rsidP="00AF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Opis programa</w:t>
      </w:r>
    </w:p>
    <w:p w14:paraId="56F0417E" w14:textId="77777777" w:rsidR="00B45196" w:rsidRDefault="00B45196" w:rsidP="00AF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E8ED152" w14:textId="2DA6DC2B" w:rsidR="00AF2830" w:rsidRPr="003D59B5" w:rsidRDefault="00AF2830" w:rsidP="00AF2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Program je namijenjen za </w:t>
      </w:r>
      <w:r w:rsidR="00B451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Tekući projekt  Inkluzija – korak bliže društvu.</w:t>
      </w:r>
    </w:p>
    <w:p w14:paraId="1800EBD7" w14:textId="77777777" w:rsidR="00AF2830" w:rsidRPr="003D59B5" w:rsidRDefault="00AF2830" w:rsidP="00AF2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67EC115" w14:textId="77777777" w:rsidR="00426499" w:rsidRDefault="00426499" w:rsidP="00AF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4035FF9" w14:textId="55EA3EF9" w:rsidR="00AF2830" w:rsidRPr="00426499" w:rsidRDefault="00AF2830" w:rsidP="00AF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Zakonske i druge pravne osnove</w:t>
      </w:r>
    </w:p>
    <w:p w14:paraId="10858357" w14:textId="77777777" w:rsidR="00AF2830" w:rsidRPr="003D59B5" w:rsidRDefault="00AF2830" w:rsidP="00AF28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odgoju i obrazovanju u osnovnoj i srednjoj školi (NN br. 87/08, 86/09, 92/10, 90/11, 5/12, 16./12, 86/12, 126/12, 94/13, 152/14, 07/17, 68/18, 98/19, 64/20, 151/22, 155/23, 156/23), </w:t>
      </w:r>
    </w:p>
    <w:p w14:paraId="6D0C56B4" w14:textId="77777777" w:rsidR="00AF2830" w:rsidRPr="003D59B5" w:rsidRDefault="00AF2830" w:rsidP="00AF28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ustanovama (NN br. 76/93, 29/97, 47/99, 35/08, 121/19, 151/22) </w:t>
      </w:r>
    </w:p>
    <w:p w14:paraId="0D6716C7" w14:textId="77777777" w:rsidR="00AF2830" w:rsidRPr="003D59B5" w:rsidRDefault="00AF2830" w:rsidP="00AF28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proračunu, (NN br.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144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</w:t>
      </w:r>
    </w:p>
    <w:p w14:paraId="46E18C9C" w14:textId="77777777" w:rsidR="00AF2830" w:rsidRPr="003D59B5" w:rsidRDefault="00AF2830" w:rsidP="00AF28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Pravilnik o proračunskom računovodstvu i računskom planu (NN br. 158/23) </w:t>
      </w:r>
    </w:p>
    <w:p w14:paraId="55DC1EFA" w14:textId="77777777" w:rsidR="00AF2830" w:rsidRPr="003D59B5" w:rsidRDefault="00AF2830" w:rsidP="00AF28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 Zadarske županije</w:t>
      </w:r>
    </w:p>
    <w:p w14:paraId="789D42A5" w14:textId="77777777" w:rsidR="00AF2830" w:rsidRPr="003D59B5" w:rsidRDefault="00AF2830" w:rsidP="00AF28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izvršenju proračuna Zadarske županije</w:t>
      </w:r>
    </w:p>
    <w:p w14:paraId="4412AE60" w14:textId="77777777" w:rsidR="00AF2830" w:rsidRPr="003D59B5" w:rsidRDefault="00AF2830" w:rsidP="00AF28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Upute za izradu prijedloga proračuna i financijskih planova upravnih tijela, proračunskih i izvanproračunskih korisnika Zadarske županije za razdoblje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–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</w:t>
      </w:r>
    </w:p>
    <w:p w14:paraId="1BB86B39" w14:textId="77777777" w:rsidR="00AF2830" w:rsidRPr="003D59B5" w:rsidRDefault="00AF2830" w:rsidP="00AF283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Godišnji plan i program rada Osnovne škole Starigrad,</w:t>
      </w:r>
    </w:p>
    <w:p w14:paraId="5E0EBDBA" w14:textId="77777777" w:rsidR="00AF2830" w:rsidRDefault="00AF2830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CBA8E61" w14:textId="77777777" w:rsidR="00144B44" w:rsidRPr="003D59B5" w:rsidRDefault="00144B44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C0CDE17" w14:textId="35E38AA9" w:rsidR="00B45196" w:rsidRDefault="00B45196" w:rsidP="00B45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Aktivnost T4306-03 Inkluzija – korak bliže društvu</w:t>
      </w:r>
    </w:p>
    <w:p w14:paraId="64B0C34A" w14:textId="77777777" w:rsidR="00B45196" w:rsidRDefault="00B45196" w:rsidP="00B45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C40CACB" w14:textId="77777777" w:rsidR="00B45196" w:rsidRDefault="00B45196" w:rsidP="00B45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Opis aktivnosti:</w:t>
      </w:r>
    </w:p>
    <w:p w14:paraId="64D83D38" w14:textId="73CC8E53" w:rsidR="00B45196" w:rsidRDefault="00B45196" w:rsidP="00B451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Izvor financiranja:</w:t>
      </w:r>
    </w:p>
    <w:p w14:paraId="0CB0B094" w14:textId="754B4D0F" w:rsidR="00B45196" w:rsidRDefault="00B45196" w:rsidP="00B45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11 –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Opći prihodi i primici</w:t>
      </w:r>
    </w:p>
    <w:p w14:paraId="185911A0" w14:textId="030533D8" w:rsidR="00B45196" w:rsidRDefault="00B45196" w:rsidP="00B45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B451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54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– Ostale pomoći EU</w:t>
      </w:r>
    </w:p>
    <w:p w14:paraId="6E36E90F" w14:textId="4305A1FA" w:rsidR="00B45196" w:rsidRDefault="00B45196" w:rsidP="00B45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B451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51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– Državni proračun</w:t>
      </w:r>
    </w:p>
    <w:p w14:paraId="76D24E56" w14:textId="3489C19C" w:rsidR="00B45196" w:rsidRDefault="00B45196" w:rsidP="00B45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B451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12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– Višak/manjak prihoda korisnici – ZŽ</w:t>
      </w:r>
    </w:p>
    <w:p w14:paraId="4B236768" w14:textId="77777777" w:rsidR="00B45196" w:rsidRDefault="00B45196" w:rsidP="00B45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81509D6" w14:textId="600245A2" w:rsidR="00AF2830" w:rsidRDefault="00B45196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451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Aktivnost je namijenjena za pokriće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rashoda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pomoćnicima u nastavi (plaće i ostalih naknada - </w:t>
      </w:r>
      <w:r w:rsidRPr="00B4519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regres za godišnji odmor, božićnice, dar za djecu)</w:t>
      </w: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te naknade za prijevoz.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Prema uputama Upravnog odjela ove prihode ne planiramo, a po odobrenju Županija ih dodaje u Financijski plan.</w:t>
      </w:r>
    </w:p>
    <w:p w14:paraId="7BC4BE34" w14:textId="77777777" w:rsidR="00AF2830" w:rsidRDefault="00AF2830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C88A5A0" w14:textId="77777777" w:rsidR="00B45196" w:rsidRDefault="00B45196" w:rsidP="00B4519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282E9FB" w14:textId="7AE9204A" w:rsidR="00B45196" w:rsidRPr="003D59B5" w:rsidRDefault="00B45196" w:rsidP="00B4519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Svrha</w:t>
      </w: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provedbe programa u razdoblju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–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8</w:t>
      </w: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i pokazatelji uspješnosti kojima će se mjeriti ostvarenje tih ciljeva</w:t>
      </w:r>
    </w:p>
    <w:p w14:paraId="6357005F" w14:textId="77777777" w:rsidR="00B45196" w:rsidRPr="003D59B5" w:rsidRDefault="00B45196" w:rsidP="00B4519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7E559EE" w14:textId="6644DD42" w:rsidR="00B45196" w:rsidRPr="003D59B5" w:rsidRDefault="00B45196" w:rsidP="00B4519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6" w:name="_Hlk212202790"/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Osiguranje i unapređenje kvalitete nastave, poučavanja i učenja i jačanje kapaciteta učenika</w:t>
      </w:r>
      <w:bookmarkEnd w:id="6"/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00435A3" w14:textId="77777777" w:rsidR="00B45196" w:rsidRDefault="00B45196" w:rsidP="00B451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1730D6" w14:textId="77777777" w:rsidR="00B45196" w:rsidRPr="003D59B5" w:rsidRDefault="00B45196" w:rsidP="00B4519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Izvještaj o postignutim ciljevima i rezultatima programa temeljenim na pokazateljima uspješnosti u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</w:t>
      </w: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godini</w:t>
      </w:r>
    </w:p>
    <w:p w14:paraId="64B941F4" w14:textId="77777777" w:rsidR="00B45196" w:rsidRPr="003D59B5" w:rsidRDefault="00B45196" w:rsidP="00B4519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9C14E25" w14:textId="77777777" w:rsidR="00B45196" w:rsidRPr="00144B44" w:rsidRDefault="00B45196" w:rsidP="00B4519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Proveden je program pomoćnika u nastavi za dva učenika sa teškoćama u školskoj godini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te je isto nastavljeno i u novoj školskoj godini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( dva pomoćnika)</w:t>
      </w:r>
    </w:p>
    <w:p w14:paraId="3FAA3CA1" w14:textId="77777777" w:rsidR="00AF2830" w:rsidRPr="003D59B5" w:rsidRDefault="00AF2830" w:rsidP="003D59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A0654C4" w14:textId="546266A7" w:rsidR="008612C5" w:rsidRPr="003D59B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PROGRAM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4307</w:t>
      </w: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MEĐUNARODNI EU PROJEKTI </w:t>
      </w:r>
    </w:p>
    <w:p w14:paraId="5FEEDE75" w14:textId="77777777" w:rsidR="008612C5" w:rsidRPr="003D59B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D873" w:themeFill="accent6" w:themeFillTint="99"/>
        <w:tblLook w:val="04A0" w:firstRow="1" w:lastRow="0" w:firstColumn="1" w:lastColumn="0" w:noHBand="0" w:noVBand="1"/>
      </w:tblPr>
      <w:tblGrid>
        <w:gridCol w:w="1849"/>
        <w:gridCol w:w="1187"/>
        <w:gridCol w:w="1288"/>
        <w:gridCol w:w="1187"/>
        <w:gridCol w:w="1190"/>
        <w:gridCol w:w="1387"/>
        <w:gridCol w:w="1389"/>
      </w:tblGrid>
      <w:tr w:rsidR="008612C5" w:rsidRPr="003D59B5" w14:paraId="31F34D07" w14:textId="77777777" w:rsidTr="000B11A2">
        <w:trPr>
          <w:trHeight w:hRule="exact" w:val="781"/>
          <w:jc w:val="center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69D92710" w14:textId="77777777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Šifra programa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4ABC749E" w14:textId="77777777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Izvršenje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AD2A924" w14:textId="77777777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EAF9874" w14:textId="77777777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717873D4" w14:textId="77777777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3500761D" w14:textId="77777777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Projekcija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6DC0182A" w14:textId="77777777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Indeks </w:t>
            </w:r>
          </w:p>
          <w:p w14:paraId="7D6BF718" w14:textId="77777777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./202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8612C5" w:rsidRPr="003D59B5" w14:paraId="55E7F46F" w14:textId="77777777" w:rsidTr="000B11A2">
        <w:trPr>
          <w:trHeight w:hRule="exact" w:val="781"/>
          <w:jc w:val="center"/>
        </w:trPr>
        <w:tc>
          <w:tcPr>
            <w:tcW w:w="1851" w:type="dxa"/>
            <w:shd w:val="clear" w:color="auto" w:fill="B3E5A1" w:themeFill="accent6" w:themeFillTint="66"/>
            <w:vAlign w:val="bottom"/>
          </w:tcPr>
          <w:p w14:paraId="5DDEE261" w14:textId="0DEEA203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4307</w:t>
            </w:r>
          </w:p>
          <w:p w14:paraId="4A9F7F1A" w14:textId="77777777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63DBD672" w14:textId="50D3DF4F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2.220,00</w:t>
            </w:r>
          </w:p>
        </w:tc>
        <w:tc>
          <w:tcPr>
            <w:tcW w:w="1289" w:type="dxa"/>
            <w:shd w:val="clear" w:color="auto" w:fill="B3E5A1" w:themeFill="accent6" w:themeFillTint="66"/>
            <w:vAlign w:val="center"/>
          </w:tcPr>
          <w:p w14:paraId="03BEB0A1" w14:textId="23BDAF72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2.250,00</w:t>
            </w: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458AC277" w14:textId="61C4E12D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2.900,00</w:t>
            </w:r>
          </w:p>
        </w:tc>
        <w:tc>
          <w:tcPr>
            <w:tcW w:w="1187" w:type="dxa"/>
            <w:shd w:val="clear" w:color="auto" w:fill="B3E5A1" w:themeFill="accent6" w:themeFillTint="66"/>
            <w:vAlign w:val="center"/>
          </w:tcPr>
          <w:p w14:paraId="77532EFC" w14:textId="5398EEA0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2.943,50</w:t>
            </w:r>
          </w:p>
        </w:tc>
        <w:tc>
          <w:tcPr>
            <w:tcW w:w="1387" w:type="dxa"/>
            <w:shd w:val="clear" w:color="auto" w:fill="B3E5A1" w:themeFill="accent6" w:themeFillTint="66"/>
          </w:tcPr>
          <w:p w14:paraId="4D3E7EFE" w14:textId="77777777" w:rsidR="008612C5" w:rsidRPr="003D59B5" w:rsidRDefault="008612C5" w:rsidP="000B1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19AC371" w14:textId="222D341A" w:rsidR="008612C5" w:rsidRPr="003D59B5" w:rsidRDefault="008612C5" w:rsidP="000B1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2.987,66</w:t>
            </w:r>
          </w:p>
        </w:tc>
        <w:tc>
          <w:tcPr>
            <w:tcW w:w="1389" w:type="dxa"/>
            <w:shd w:val="clear" w:color="auto" w:fill="B3E5A1" w:themeFill="accent6" w:themeFillTint="66"/>
            <w:vAlign w:val="center"/>
          </w:tcPr>
          <w:p w14:paraId="5948B8D7" w14:textId="1FACDAF5" w:rsidR="008612C5" w:rsidRPr="003D59B5" w:rsidRDefault="008612C5" w:rsidP="000B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128,00</w:t>
            </w:r>
            <w:r w:rsidRPr="003D59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%</w:t>
            </w:r>
          </w:p>
        </w:tc>
      </w:tr>
    </w:tbl>
    <w:p w14:paraId="45E35906" w14:textId="77777777" w:rsidR="009B0DA0" w:rsidRDefault="009B0DA0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E99287B" w14:textId="31EC00B1" w:rsidR="008612C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Opis programa</w:t>
      </w:r>
    </w:p>
    <w:p w14:paraId="14B2CE94" w14:textId="77777777" w:rsidR="008612C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AABB9B7" w14:textId="1D4422E6" w:rsidR="008612C5" w:rsidRPr="003D59B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Program je namijenjen za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Tekući projekt  Erasmus+KA152 .</w:t>
      </w:r>
    </w:p>
    <w:p w14:paraId="190072EE" w14:textId="77777777" w:rsidR="008612C5" w:rsidRPr="003D59B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6105188" w14:textId="77777777" w:rsidR="009B0DA0" w:rsidRDefault="009B0DA0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B745C09" w14:textId="77777777" w:rsidR="009B0DA0" w:rsidRDefault="009B0DA0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3255D17" w14:textId="77777777" w:rsidR="009B0DA0" w:rsidRDefault="009B0DA0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9335445" w14:textId="77777777" w:rsidR="009B0DA0" w:rsidRDefault="009B0DA0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4145D8F2" w14:textId="3B7100AA" w:rsidR="008612C5" w:rsidRPr="003D59B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Zakonske i druge pravne osnove</w:t>
      </w:r>
    </w:p>
    <w:p w14:paraId="2FA09681" w14:textId="77777777" w:rsidR="008612C5" w:rsidRPr="003D59B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EBA9D7E" w14:textId="77777777" w:rsidR="008612C5" w:rsidRPr="003D59B5" w:rsidRDefault="008612C5" w:rsidP="008612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odgoju i obrazovanju u osnovnoj i srednjoj školi (NN br. 87/08, 86/09, 92/10, 90/11, 5/12, 16./12, 86/12, 126/12, 94/13, 152/14, 07/17, 68/18, 98/19, 64/20, 151/22, 155/23, 156/23), </w:t>
      </w:r>
    </w:p>
    <w:p w14:paraId="1838C152" w14:textId="77777777" w:rsidR="008612C5" w:rsidRPr="003D59B5" w:rsidRDefault="008612C5" w:rsidP="008612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ustanovama (NN br. 76/93, 29/97, 47/99, 35/08, 121/19, 151/22) </w:t>
      </w:r>
    </w:p>
    <w:p w14:paraId="545D1265" w14:textId="77777777" w:rsidR="008612C5" w:rsidRPr="003D59B5" w:rsidRDefault="008612C5" w:rsidP="008612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 o proračunu, (NN br.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144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</w:t>
      </w:r>
    </w:p>
    <w:p w14:paraId="1197A1F5" w14:textId="77777777" w:rsidR="008612C5" w:rsidRPr="003D59B5" w:rsidRDefault="008612C5" w:rsidP="008612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Pravilnik o proračunskom računovodstvu i računskom planu (NN br. 158/23) </w:t>
      </w:r>
    </w:p>
    <w:p w14:paraId="012CF1C0" w14:textId="77777777" w:rsidR="008612C5" w:rsidRPr="003D59B5" w:rsidRDefault="008612C5" w:rsidP="008612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 Zadarske županije</w:t>
      </w:r>
    </w:p>
    <w:p w14:paraId="3442F9A4" w14:textId="77777777" w:rsidR="008612C5" w:rsidRPr="003D59B5" w:rsidRDefault="008612C5" w:rsidP="008612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izvršenju proračuna Zadarske županije</w:t>
      </w:r>
    </w:p>
    <w:p w14:paraId="086FC679" w14:textId="77777777" w:rsidR="008612C5" w:rsidRPr="003D59B5" w:rsidRDefault="008612C5" w:rsidP="008612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Upute za izradu prijedloga proračuna i financijskih planova upravnih tijela, proračunskih i izvanproračunskih korisnika Zadarske županije za razdoblje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–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</w:t>
      </w:r>
    </w:p>
    <w:p w14:paraId="431DD048" w14:textId="77777777" w:rsidR="008612C5" w:rsidRPr="003D59B5" w:rsidRDefault="008612C5" w:rsidP="008612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B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Godišnji plan i program rada Osnovne škole Starigrad,</w:t>
      </w:r>
    </w:p>
    <w:p w14:paraId="69CC44D0" w14:textId="77777777" w:rsidR="008612C5" w:rsidRDefault="008612C5" w:rsidP="008612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C78E23C" w14:textId="77777777" w:rsidR="008612C5" w:rsidRPr="003D59B5" w:rsidRDefault="008612C5" w:rsidP="008612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48C0F9C" w14:textId="54E1B540" w:rsidR="008612C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Aktivnost T4307-24  ERASMUS+KA152</w:t>
      </w:r>
    </w:p>
    <w:p w14:paraId="2C3F9828" w14:textId="77777777" w:rsidR="008612C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EBD111F" w14:textId="77777777" w:rsidR="008612C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Opis aktivnosti:</w:t>
      </w:r>
    </w:p>
    <w:p w14:paraId="37F0E77C" w14:textId="1414B546" w:rsidR="008612C5" w:rsidRPr="008612C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Izvor financiranja </w:t>
      </w:r>
      <w:r w:rsidRPr="00B4519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54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– Ostale pomoći EU</w:t>
      </w:r>
    </w:p>
    <w:p w14:paraId="2A4E26DA" w14:textId="77777777" w:rsidR="008612C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BABE0E2" w14:textId="132CD04E" w:rsidR="008612C5" w:rsidRDefault="008612C5" w:rsidP="008612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4519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Aktivnost je namijenjena za pokriće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3D59B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rashoda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razmjene posjete učenika OŠ Starigrad i učenika iz Njemačke (troškove smještaja, dnevnica, prehrane, troškove puta). </w:t>
      </w:r>
    </w:p>
    <w:p w14:paraId="0BDF3DA2" w14:textId="77777777" w:rsidR="008612C5" w:rsidRDefault="008612C5" w:rsidP="008612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E4C2953" w14:textId="77777777" w:rsidR="008612C5" w:rsidRPr="003D59B5" w:rsidRDefault="008612C5" w:rsidP="008612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Svrha</w:t>
      </w: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provedbe programa u razdoblju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–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8</w:t>
      </w:r>
      <w:r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i pokazatelji uspješnosti kojima će se mjeriti ostvarenje tih ciljeva</w:t>
      </w:r>
    </w:p>
    <w:p w14:paraId="1ADA14D8" w14:textId="77777777" w:rsidR="008612C5" w:rsidRPr="003D59B5" w:rsidRDefault="008612C5" w:rsidP="008612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814A2C7" w14:textId="4FEFD1C1" w:rsidR="0078626E" w:rsidRPr="0078626E" w:rsidRDefault="0078626E" w:rsidP="007862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862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učenike je jačanje europske dimenzije poučavanja i učenja, promicanje vrijednosti kao što su uključivost, raznolikost i tolerancija te pružanje mogućnosti za učenje, razmjenu iskustava i znanja kroz mobilnost i suradnju s drugim školama i organizacijama diljem Europ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</w:p>
    <w:p w14:paraId="2063226D" w14:textId="77777777" w:rsidR="0078626E" w:rsidRPr="0078626E" w:rsidRDefault="0078626E" w:rsidP="0078626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5773FCB" w14:textId="5A699AC3" w:rsidR="008612C5" w:rsidRPr="0078626E" w:rsidRDefault="008612C5" w:rsidP="0078626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862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Izvještaj o postignutim ciljevima i rezultatima programa temeljenim na pokazateljima uspješnosti u 2025. godini</w:t>
      </w:r>
    </w:p>
    <w:p w14:paraId="7AD74248" w14:textId="77777777" w:rsidR="008612C5" w:rsidRPr="003D59B5" w:rsidRDefault="008612C5" w:rsidP="008612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801C8F7" w14:textId="77777777" w:rsidR="008612C5" w:rsidRDefault="008612C5" w:rsidP="008612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B332C11" w14:textId="77777777" w:rsidR="0078626E" w:rsidRPr="0078626E" w:rsidRDefault="0078626E" w:rsidP="007862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Potiču se učenici na izražavanje kreativnosti i nadarenosti kroz uključivanje u razne aktivnosti, </w:t>
      </w:r>
      <w:r w:rsidRPr="007862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upoznavanje različitih kultura, razmjena iskustava i učenje o važnosti očuvanja prirode, posebno bukovih šuma</w:t>
      </w:r>
    </w:p>
    <w:p w14:paraId="7994D86F" w14:textId="052E53C8" w:rsidR="0078626E" w:rsidRPr="00144B44" w:rsidRDefault="0078626E" w:rsidP="0078626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11B93EA" w14:textId="77777777" w:rsidR="008612C5" w:rsidRDefault="008612C5" w:rsidP="00861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C73418D" w14:textId="77777777" w:rsidR="0078626E" w:rsidRDefault="0078626E" w:rsidP="003D59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91261FA" w14:textId="023E0DE6" w:rsidR="003D59B5" w:rsidRPr="003D59B5" w:rsidRDefault="00426499" w:rsidP="00426499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Računovođa: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  <w:r w:rsidR="003D59B5"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Ravnateljica</w:t>
      </w:r>
    </w:p>
    <w:p w14:paraId="41458185" w14:textId="12F91A67" w:rsidR="003D59B5" w:rsidRPr="003D59B5" w:rsidRDefault="00426499" w:rsidP="00426499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Marijana Šimičević, dipl.oec.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  <w:r w:rsidR="003D59B5" w:rsidRPr="003D5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Jadranka Marasović, dipl. pedagog</w:t>
      </w:r>
    </w:p>
    <w:p w14:paraId="2286B305" w14:textId="77777777" w:rsidR="003D59B5" w:rsidRPr="003D59B5" w:rsidRDefault="003D59B5" w:rsidP="003D59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E5B5709" w14:textId="4D111A6D" w:rsidR="00543F7C" w:rsidRDefault="00543F7C"/>
    <w:sectPr w:rsidR="00543F7C" w:rsidSect="003D59B5">
      <w:head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FB5D7" w14:textId="77777777" w:rsidR="00296A07" w:rsidRDefault="00296A07">
      <w:pPr>
        <w:spacing w:after="0" w:line="240" w:lineRule="auto"/>
      </w:pPr>
      <w:r>
        <w:separator/>
      </w:r>
    </w:p>
  </w:endnote>
  <w:endnote w:type="continuationSeparator" w:id="0">
    <w:p w14:paraId="6B40937C" w14:textId="77777777" w:rsidR="00296A07" w:rsidRDefault="0029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8A4D" w14:textId="77777777" w:rsidR="00296A07" w:rsidRDefault="00296A07">
      <w:pPr>
        <w:spacing w:after="0" w:line="240" w:lineRule="auto"/>
      </w:pPr>
      <w:r>
        <w:separator/>
      </w:r>
    </w:p>
  </w:footnote>
  <w:footnote w:type="continuationSeparator" w:id="0">
    <w:p w14:paraId="291225D4" w14:textId="77777777" w:rsidR="00296A07" w:rsidRDefault="0029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85BB" w14:textId="77777777" w:rsidR="003D59B5" w:rsidRPr="00495C6C" w:rsidRDefault="003D59B5" w:rsidP="00495C6C">
    <w:pPr>
      <w:rPr>
        <w:rFonts w:eastAsia="Calibri"/>
      </w:rPr>
    </w:pPr>
  </w:p>
  <w:p w14:paraId="7647089C" w14:textId="77777777" w:rsidR="003D59B5" w:rsidRDefault="003D5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3473"/>
      </v:shape>
    </w:pict>
  </w:numPicBullet>
  <w:abstractNum w:abstractNumId="0" w15:restartNumberingAfterBreak="0">
    <w:nsid w:val="13717B76"/>
    <w:multiLevelType w:val="hybridMultilevel"/>
    <w:tmpl w:val="81B435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7112"/>
    <w:multiLevelType w:val="hybridMultilevel"/>
    <w:tmpl w:val="D08411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43C1C"/>
    <w:multiLevelType w:val="hybridMultilevel"/>
    <w:tmpl w:val="A8DC7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86BFC"/>
    <w:multiLevelType w:val="hybridMultilevel"/>
    <w:tmpl w:val="D0561D32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65078"/>
    <w:multiLevelType w:val="hybridMultilevel"/>
    <w:tmpl w:val="7C3812D8"/>
    <w:lvl w:ilvl="0" w:tplc="664267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93A5F"/>
    <w:multiLevelType w:val="hybridMultilevel"/>
    <w:tmpl w:val="158C000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E4A46"/>
    <w:multiLevelType w:val="hybridMultilevel"/>
    <w:tmpl w:val="59A8D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E6063"/>
    <w:multiLevelType w:val="hybridMultilevel"/>
    <w:tmpl w:val="145A432C"/>
    <w:lvl w:ilvl="0" w:tplc="FD3EF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41032"/>
    <w:multiLevelType w:val="hybridMultilevel"/>
    <w:tmpl w:val="CEC298BC"/>
    <w:lvl w:ilvl="0" w:tplc="B57CD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F0778"/>
    <w:multiLevelType w:val="hybridMultilevel"/>
    <w:tmpl w:val="4FCE2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B4B42"/>
    <w:multiLevelType w:val="hybridMultilevel"/>
    <w:tmpl w:val="75B2B8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A063E6"/>
    <w:multiLevelType w:val="hybridMultilevel"/>
    <w:tmpl w:val="EFC6481E"/>
    <w:lvl w:ilvl="0" w:tplc="23A84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376A6"/>
    <w:multiLevelType w:val="hybridMultilevel"/>
    <w:tmpl w:val="37808794"/>
    <w:lvl w:ilvl="0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AD15B5C"/>
    <w:multiLevelType w:val="hybridMultilevel"/>
    <w:tmpl w:val="30187132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177281"/>
    <w:multiLevelType w:val="hybridMultilevel"/>
    <w:tmpl w:val="2FD8D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E72F0"/>
    <w:multiLevelType w:val="hybridMultilevel"/>
    <w:tmpl w:val="2E32BCA6"/>
    <w:lvl w:ilvl="0" w:tplc="DB76B78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70C5CF5"/>
    <w:multiLevelType w:val="hybridMultilevel"/>
    <w:tmpl w:val="F7CCC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0"/>
  </w:num>
  <w:num w:numId="5">
    <w:abstractNumId w:val="12"/>
  </w:num>
  <w:num w:numId="6">
    <w:abstractNumId w:val="3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B5"/>
    <w:rsid w:val="000F4311"/>
    <w:rsid w:val="00144B44"/>
    <w:rsid w:val="00217EA3"/>
    <w:rsid w:val="00296A07"/>
    <w:rsid w:val="002B79E7"/>
    <w:rsid w:val="003D59B5"/>
    <w:rsid w:val="00426499"/>
    <w:rsid w:val="00543F7C"/>
    <w:rsid w:val="00561C55"/>
    <w:rsid w:val="00567162"/>
    <w:rsid w:val="005F0368"/>
    <w:rsid w:val="00641E35"/>
    <w:rsid w:val="006D3D5D"/>
    <w:rsid w:val="0070179F"/>
    <w:rsid w:val="0078626E"/>
    <w:rsid w:val="007D106E"/>
    <w:rsid w:val="008612C5"/>
    <w:rsid w:val="0091310E"/>
    <w:rsid w:val="0097054D"/>
    <w:rsid w:val="009761B9"/>
    <w:rsid w:val="009B0DA0"/>
    <w:rsid w:val="009B7088"/>
    <w:rsid w:val="00A06281"/>
    <w:rsid w:val="00A574F9"/>
    <w:rsid w:val="00AF2830"/>
    <w:rsid w:val="00B33AE4"/>
    <w:rsid w:val="00B45196"/>
    <w:rsid w:val="00C42939"/>
    <w:rsid w:val="00C528E2"/>
    <w:rsid w:val="00C53550"/>
    <w:rsid w:val="00C81933"/>
    <w:rsid w:val="00CF608D"/>
    <w:rsid w:val="00D41755"/>
    <w:rsid w:val="00D54CD6"/>
    <w:rsid w:val="00DE40A0"/>
    <w:rsid w:val="00E5174A"/>
    <w:rsid w:val="00E82F62"/>
    <w:rsid w:val="00EB2355"/>
    <w:rsid w:val="00F61C8B"/>
    <w:rsid w:val="00F9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8AB9"/>
  <w15:chartTrackingRefBased/>
  <w15:docId w15:val="{7EC91015-F375-48E8-9250-C80ADAB7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35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5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9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9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D59B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3D59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D340-2BA0-4D41-8CFE-4441FA1B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3121</Words>
  <Characters>17791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Šimičević</dc:creator>
  <cp:keywords/>
  <dc:description/>
  <cp:lastModifiedBy>Marijana Šimičević</cp:lastModifiedBy>
  <cp:revision>7</cp:revision>
  <cp:lastPrinted>2025-10-24T11:29:00Z</cp:lastPrinted>
  <dcterms:created xsi:type="dcterms:W3CDTF">2025-10-23T08:15:00Z</dcterms:created>
  <dcterms:modified xsi:type="dcterms:W3CDTF">2026-01-08T08:40:00Z</dcterms:modified>
</cp:coreProperties>
</file>